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133" w:rsidRDefault="004B3133" w:rsidP="004B3133">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4B3133" w:rsidRDefault="004B3133" w:rsidP="004B3133">
      <w:pPr>
        <w:autoSpaceDE w:val="0"/>
        <w:autoSpaceDN w:val="0"/>
        <w:adjustRightInd w:val="0"/>
        <w:spacing w:after="0" w:line="240" w:lineRule="auto"/>
        <w:jc w:val="both"/>
        <w:outlineLvl w:val="0"/>
        <w:rPr>
          <w:rFonts w:ascii="Arial" w:hAnsi="Arial" w:cs="Arial"/>
          <w:sz w:val="20"/>
          <w:szCs w:val="20"/>
        </w:rPr>
      </w:pPr>
    </w:p>
    <w:p w:rsidR="004B3133" w:rsidRDefault="004B3133" w:rsidP="004B313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5 февраля 2015 г. N 35894</w:t>
      </w:r>
    </w:p>
    <w:p w:rsidR="004B3133" w:rsidRDefault="004B3133" w:rsidP="004B3133">
      <w:pPr>
        <w:pBdr>
          <w:top w:val="single" w:sz="6" w:space="0" w:color="auto"/>
        </w:pBdr>
        <w:autoSpaceDE w:val="0"/>
        <w:autoSpaceDN w:val="0"/>
        <w:adjustRightInd w:val="0"/>
        <w:spacing w:before="100" w:after="100" w:line="240" w:lineRule="auto"/>
        <w:jc w:val="both"/>
        <w:rPr>
          <w:rFonts w:ascii="Arial" w:hAnsi="Arial" w:cs="Arial"/>
          <w:sz w:val="2"/>
          <w:szCs w:val="2"/>
        </w:rPr>
      </w:pP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10 декабря 2014 г. N 1567</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38.03.04</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ГОСУДАРСТВЕННОЕ И МУНИЦИПАЛЬНОЕ УПРАВЛЕНИЕ</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БАКАЛАВРИАТА)</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6"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5096), приказываю:</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5"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38.03.04 Государственное и муниципальное управление (уровень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hyperlink r:id="rId7"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17 января 2011 г. N 41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081100 Государственное и муниципальное управление (квалификация (степень) "бакалавр")" (зарегистрирован Министерством юстиции Российской Федерации 31 марта 2011 г., регистрационный N 20353);</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пункт 74</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4B3133" w:rsidRDefault="004B3133" w:rsidP="004B313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4B3133" w:rsidRDefault="004B3133" w:rsidP="004B313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4B3133" w:rsidRDefault="004B3133" w:rsidP="004B313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4B3133" w:rsidRDefault="004B3133" w:rsidP="004B313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10 декабря 2014 г. N 1567</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5"/>
      <w:bookmarkEnd w:id="0"/>
      <w:r>
        <w:rPr>
          <w:rFonts w:ascii="Arial" w:eastAsiaTheme="minorHAnsi" w:hAnsi="Arial" w:cs="Arial"/>
          <w:color w:val="auto"/>
          <w:sz w:val="20"/>
          <w:szCs w:val="20"/>
        </w:rPr>
        <w:t>ФЕДЕРАЛЬНЫЙ ГОСУДАРСТВЕННЫЙ ОБРАЗОВАТЕЛЬНЫЙ СТАНДАРТ</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lastRenderedPageBreak/>
        <w:t>БАКАЛАВРИАТ</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4B3133" w:rsidRDefault="004B3133" w:rsidP="004B3133">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38.03.04 ГОСУДАРСТВЕННОЕ И МУНИЦИПАЛЬНОЕ УПРАВЛЕНИЕ</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38.03.04 Государственное и муниципальное управление (далее соответственно -программа бакалавриата, направление подготовки).</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бакалавриата в организациях осуществляется в очной, очно-заочной и заочной формах обучения.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инвалидов и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При реализации программы бакалавриата организация вправе применять электронное обучение и дистанционные образовательные технологии.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бакалавриата возможна с использованием сетевой формы.</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4B3133" w:rsidRDefault="004B3133" w:rsidP="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БАКАЛАВРИАТА</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бакалавриата, включает:</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профессиональную служебную деятельность граждан Российской Федерации на должностях государственной гражданской службы Российской Федерации, на должностях государственной гражданской службы субъектов Российской Федерации, на должностях муниципальной службы, направленную на обеспечение исполнения основных функций, административных регламентов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профессиональную деятельность на должностях в государственных и муниципальных предприятиях и учреждениях, в научных и образовательных организациях, в политических партиях, общественно-политических, некоммерческих и коммерческих организациях, направленную на обеспечение исполнения основных функций государственных и муниципальных предприятий и учреждений, научных и образовательных организаций, политических партий, общественно-политических, коммерческих и некоммерческих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бакалавриата, являются органы государственные власти Российской Федерации, органы государственные власти субъектов Российской Федерации, органы местного самоуправления, государственные и муниципальные предприятия и учреждения, институты гражданского общества, общественные организации, некоммерческие и коммерческие организации, международные организации, научные и образовательные организации.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информационно-методическая;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коммуникативная;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вспомогательно-технологическая (исполнительская);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организационно-регулирующая;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исполнительно-распорядительная.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исполнения полномочий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лиц, замещающих государственные и муниципальные должности, осуществление прав и обязанностей государственных и муниципальных предприятий и учреждений, научных и образовательных организаций, политических партий, общественно-политических, некоммерческих и коммерческих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и реализация управленческих решений, в том числе нормативных актов, направленных на исполнение полномочий государственной власти Российской Федерации, органов государственной власти субъектов Российской Федерации и органов местного самоуправления, лиц, замещающих государственные и муниципальные должности, осуществление прав и обязанностей государственных и муниципальных предприятий и учреждений, научных и образовательных организаций, политических партий, общественно-политических, некоммерческих и коммерческих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социально ориентированных мер регулирующего воздействия на общественные отношения и процессы социально-экономического развития;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процессах бюджетного планирования и оценки эффективности бюджетных расходов;</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обеспечении рационального использования и контроля ресурсов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научных и образовательных организаций, политических партий, общественно-политических, коммерческих и некоммерческих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планирование деятельности организаций и подразделений, формирование организационной и управленческой структуры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государственных и муниципальных предприятиях и учреждениях, научных и образовательных организациях, политических партиях, общественно-политических, некоммерческих и коммерческих организациях;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организационное обеспечение деятельности лиц, замещающих государственные должности Российской Федерации, государственные должности субъектов Российской Федерации, должности муниципальной службы;</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организационно-административное обеспечение деятельности государственных и муниципальных предприятий и учреждений, научных и образовательных организаций, политических партий, общественно-политических, некоммерческих и коммерческих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контроля качества управленческих решений и осуществление административных процессов;</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взаимодействия с внешними организациями и гражданами;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содействие развитию механизмов общественного участия в принятии и реализации управленческих решений;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обеспечение исполнения основных функций, административных регламентов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научных и образовательных организаций, политических партий, общественно-политических, коммерческих и некоммерческих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информационно-методическая деятельность: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документационное обеспечение деятельности лиц, замещающих государственные должности Российской Федерации, замещающих государственные должности субъектов Российской Федерации, замещающих должности муниципальной службы, лиц на должностях в государственных и муниципальных предприятиях и учреждениях, научных и образовательных организаций, политических партий, общественно-политических, некоммерческих и коммерческих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создании и актуализации информационных баз данных для принятия управленческих решений;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информационно-методическая поддержка, подготовка информационно-методических материалов и сопровождение управленческих решений;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сбор и классификационно-методическая обработка информации об имеющихся политических, социально-экономических, организационно-управленческих процессах и тенденциях;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информатизации деятельности соответствующих органов и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защита служебной и конфиденциальной информации, обеспечение открытого доступа граждан к информации в соответствии с положениями законодательства;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коммуникативная деятельность: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организации взаимодействия между соответствующими органами и организациями с институтами гражданского общества, средствами массовой коммуникации, гражданами;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разрешении конфликтов в соответствующих органах и организациях;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организации внутренних коммуникаций;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обеспечении связей с общественностью соответствующих органов и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содействие развитию механизмов общественного участия в принятии и реализации управленческих решений;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поддержка формирования и продвижения имиджа государственной и муниципальной службы, страны и территории на основе современных коммуникативных технологий;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подготовке и проведении коммуникационных кампаний и мероприятий в соответствии с целями и задачами государственного и муниципального управления;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и реализация проектов в области государственного и муниципального управления;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проектировании организационных систем;</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расчетов с целью выявления оптимальных решений при подготовке и реализации проектов;</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оценка результатов проектной деятельности;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вспомогательно-технологическая (исполнительская):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ведение делопроизводства и документооборота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государственных и муниципальных предприятиях и учреждениях, научных и образовательных организациях, политических партиях, общественно-политических, некоммерческих и коммерческих организациях;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действий (административных процедур), обеспечивающих предоставление государственных и муниципальных услуг в соответствии с законодательством Российской Федерации;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технологическое обеспечение служебной деятельности специалистов (по категориям и группам должностей государственной гражданской и муниципальной службы);</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обеспечение исполнения основных функций, административных регламентов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научных и образовательных организаций, политических партий, общественно-политических, коммерческих и некоммерческих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организационно-регулирующая деятельность: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и реализации управленческих решений, в том числе нормативных актов, направленных на исполнение полномочий государственных органов, органов местного самоуправления, лиц, замещающих государственные и муниципальные должности, на осуществление прав и обязанностей государственных и муниципальных предприятиях и учреждениях, научных и образовательных организациях, политических партиях, общественно-политических, некоммерческих и коммерческих организациях;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обеспечении разработки социально ориентированных мер регулирующего воздействия на общественные отношения и процессы социально-экономического развития;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подготовке (разработке) проектов бюджетов различных уровней и оценке эффективности бюджетных расходов;</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осуществлении внутреннего контроля использования ресурсов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политических партий, общественно-политических, коммерческих и некоммерческих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развитии системы планирования профессиональной деятельности;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организации управления персоналом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государственных и муниципальных предприятиях и учреждениях, политических партиях, общественно-политических, некоммерческих и коммерческих организациях;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контроле качества управленческих решений и осуществления административных процессов;</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исполнительно-распорядительная: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обеспечении ведения делопроизводства и документооборота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государственных и муниципальных предприятиях и учреждениях, политических партиях, общественно-политических, некоммерческих и коммерческих организациях;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действий (административных процедур), обеспечивающих предоставление государственных и муниципальных услуг в соответствии с законодательством Российской Федерации;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участие в составлении планов и организации деятельности органов государственной власти Российской Федерации, органов государственной власти субъектов Российской Федерации, органов </w:t>
      </w:r>
      <w:r>
        <w:rPr>
          <w:rFonts w:ascii="Arial" w:hAnsi="Arial" w:cs="Arial"/>
          <w:sz w:val="20"/>
          <w:szCs w:val="20"/>
        </w:rPr>
        <w:lastRenderedPageBreak/>
        <w:t>местного самоуправления, государственных и муниципальных предприятий и учреждений, политических партий, общественно-политических, коммерческих и некоммерческих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технологическое обеспечение служебной деятельности специалистов (по категориям и группам должностей муниципальной службы);</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осуществлении контроля качества управленческих решений и осуществление административных процессов;</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сбор, обработка информации и участие в информатизации деятельности соответствующих органов власти и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и реализация проектов в области государственного и муниципального управления.</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БАКАЛАВРИАТА</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бакалавриата, должен обладать следующими общекультурными компетенциями: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философских знаний для формирования мировоззренческой позиции (ОК-1);</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основные этапы и закономерности исторического развития общества для формирования гражданской позиции (ОК-2);</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экономических знаний в различных сферах деятельности (ОК-3);</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правовых знаний в различных сферах деятельности (ОК-4);</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в коллективе, толерантно воспринимая социальные, этнические, конфессиональные и культурные различия (ОК-6);</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самоорганизации и самообразованию (ОК-7);</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методы и средства физической культуры для обеспечения полноценной социальной и профессиональной деятельности (ОК-8);</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приемы первой помощи, методы защиты в условиях чрезвычайных ситуаций (ОК-9).</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бакалавриата, должен обладать следующими общепрофессиональными компетенциями: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поиска, анализа и использования нормативных и правовых документов в своей профессиональной деятельности (ОПК-1);</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находить организационно-управленческие решения, оценивать результаты и последствия принятого управленческого решения и готовность нести за них ответственность с позиций социальной значимости принимаемых решений (ОПК-2);</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организационные структуры, участвовать в разработке стратегий управления человеческими ресурсами организаций, планировать и осуществлять мероприятия, распределять и делегировать полномочия с учетом личной ответственности за осуществляемые мероприятия (ОПК-3);</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осуществлять деловое общение и публичные выступления, вести переговоры, совещания, осуществлять деловую переписку и поддерживать электронные коммуникации (ОПК-4);</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составления бюджетной и финансовой отчетности, распределения ресурсов с учетом последствий влияния различных методов и способов на результаты деятельности организации (ОПК-5);</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(ОПК-6).</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определять приоритеты профессиональной деятельности, разрабатывать и эффективно исполнять управленческие решения, в том числе в условиях неопределенности и рисков, применять адекватные инструменты и технологии регулирующего воздействия при реализации управленческого решения (ПК-1);</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использования основных теорий мотивации, лидерства и власти для решения стратегических и оперативных управленческих задач, а также для организации групповой работы на основе знания процессов групповой динамики и принципов формирования команды, умений проводить аудит человеческих ресурсов и осуществлять диагностику организационной культуры (ПК-2);</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применять основные экономические методы для управления государственным и муниципальным имуществом, принятия управленческих решений по бюджетированию и структуре государственных (муниципальных) активов (ПК-3);</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проводить оценку инвестиционных проектов при различных условиях инвестирования и финансирования (ПК-4);</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информационно-методическая деятельность: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разрабатывать методические и справочные материалы по вопросам деятельности лиц на должностях государственной гражданской Российской Федерации, государственной службы субъектов Российской Федерации и муниципальной службы, лиц замещающих государственные должности Российской Федерации, замещающих государственные должности субъектов Российской Федерации, должности муниципальной службы, административные должности в государственных и муниципальных предприятиях и учреждениях, в научных и образовательных организациях, политических партиях, общественно-политических, коммерческих и некоммерческих организациях (ПК-5);</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количественного и качественного анализа при оценке состояния экономической, социальной, политической среды,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политических партий, общественно-политических, коммерческих и некоммерческих организаций (ПК-6);</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моделировать административные процессы и процедуры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адаптировать основные математические модели к конкретным задачам управления (ПК-7);</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информационно-коммуникационные технологии в профессиональной деятельности с видением их взаимосвязей и перспектив использования (ПК-8);</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коммуникативная деятельность: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межличностные, групповые и организационные коммуникации (ПК-9);</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к взаимодействиям в ходе служебной деятельности в соответствии с этическими требованиями к служебному поведению (ПК-10);</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основными технологиями формирования и продвижения имиджа государственной и муниципальной службы, базовыми технологиями формирования общественного мнения (ПК-11);</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проектная деятельность: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разрабатывать социально-экономические проекты (программы развития), оценивать экономические, социальные, политические условия и последствия реализации государственных (муниципальных) программ (ПК-12);</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современные методы управления проектом, направленные на своевременное получение качественных результатов, определение рисков, эффективное управление ресурсами, готовностью к его реализации с использованием современных инновационных технологий (ПК-13);</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организационную структуру, осуществлять распределение полномочий и ответственности на основе их делегирования (ПК-14);</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вспомогательно-технологическая (исполнительская):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вести делопроизводство и документооборот в органах государственной власти Российской Федерации, органах государственной власти субъектов Российской Федерации, органах местного самоуправления, государственных и муниципальных предприятиях и учреждениях, научных и образовательных организациях, политических партиях, общественно-политических, коммерческих и некоммерческих организациях (ПК-15);</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технологическое обеспечение служебной деятельности специалистов (по категориям и группам должностей государственной гражданской службы и муниципальной службы) (ПК-16);</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методами самоорганизации рабочего времени, рационального применения ресурсов и эффективного взаимодействовать с другими исполнителями (ПК-17);</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организационно-регулирующая деятельность: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принимать участие в проектировании организационных действий, умением эффективно исполнять служебные (трудовые) обязанности (ПК-18);</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эффективно участвовать в групповой работе на основе знания процессов групповой динамики и принципов формирования команды (ПК-19);</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свободно ориентироваться в правовой системе России и правильно применять нормы права (ПК-20);</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определять параметры качества управленческих решений и осуществления административных процессов, выявлять отклонения и принимать корректирующие меры (ПК-21);</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оценивать соотношение планируемого результата и затрачиваемых ресурсов (ПК-22);</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исполнительно-распорядительная: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планирования и организации деятельности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государственных и муниципальных предприятий и учреждений, политических партий, общественно-политических, коммерческих и некоммерческих организаций (ПК-23);</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технологиями, приемами, обеспечивающими оказание государственных и муниципальных услуг физическим и юридическим лицам (ПК-24);</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умением организовывать контроль исполнения, проводить оценку качества управленческих решений и осуществление административных процессов (ПК-25);</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владением навыками сбора, обработки информации и участия в информатизации деятельности соответствующих органов власти и организаций (ПК-26);</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участвовать в разработке и реализации проектов в области государственного и муниципального управления (ПК-27).</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БАКАЛАВРИАТА</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бакалавриата состоит из следующих блоков:</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2 "Практики", который в полном объеме относится к вариативной части программы.</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3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образования и науки Российской Федерации &lt;1&gt;.</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9" w:history="1">
        <w:r>
          <w:rPr>
            <w:rFonts w:ascii="Arial" w:hAnsi="Arial" w:cs="Arial"/>
            <w:color w:val="0000FF"/>
            <w:sz w:val="20"/>
            <w:szCs w:val="20"/>
          </w:rPr>
          <w:t>Подпункт 5.2.1</w:t>
        </w:r>
      </w:hyperlink>
      <w:r>
        <w:rPr>
          <w:rFonts w:ascii="Arial" w:hAnsi="Arial" w:cs="Arial"/>
          <w:sz w:val="20"/>
          <w:szCs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бакалавриата</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4B3133" w:rsidRDefault="004B3133" w:rsidP="004B3133">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36"/>
        <w:gridCol w:w="4573"/>
        <w:gridCol w:w="1815"/>
        <w:gridCol w:w="1815"/>
      </w:tblGrid>
      <w:tr w:rsidR="004B3133">
        <w:tc>
          <w:tcPr>
            <w:tcW w:w="6009" w:type="dxa"/>
            <w:gridSpan w:val="2"/>
            <w:vMerge w:val="restart"/>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бакалавриата</w:t>
            </w:r>
          </w:p>
        </w:tc>
        <w:tc>
          <w:tcPr>
            <w:tcW w:w="3630" w:type="dxa"/>
            <w:gridSpan w:val="2"/>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бакалавриата в з. е.</w:t>
            </w:r>
          </w:p>
        </w:tc>
      </w:tr>
      <w:tr w:rsidR="004B3133">
        <w:tc>
          <w:tcPr>
            <w:tcW w:w="6009" w:type="dxa"/>
            <w:gridSpan w:val="2"/>
            <w:vMerge/>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both"/>
              <w:rPr>
                <w:rFonts w:ascii="Arial" w:hAnsi="Arial" w:cs="Arial"/>
                <w:sz w:val="20"/>
                <w:szCs w:val="20"/>
              </w:rPr>
            </w:pP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академического бакалавриата</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прикладного бакалавриата</w:t>
            </w:r>
          </w:p>
        </w:tc>
      </w:tr>
      <w:tr w:rsidR="004B3133">
        <w:tc>
          <w:tcPr>
            <w:tcW w:w="1436"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bookmarkStart w:id="1" w:name="Par224"/>
            <w:bookmarkEnd w:id="1"/>
            <w:r>
              <w:rPr>
                <w:rFonts w:ascii="Arial" w:hAnsi="Arial" w:cs="Arial"/>
                <w:sz w:val="20"/>
                <w:szCs w:val="20"/>
              </w:rPr>
              <w:t>Блок 1</w:t>
            </w:r>
          </w:p>
        </w:tc>
        <w:tc>
          <w:tcPr>
            <w:tcW w:w="4573"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222</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216 - 222</w:t>
            </w:r>
          </w:p>
        </w:tc>
      </w:tr>
      <w:tr w:rsidR="004B3133">
        <w:tc>
          <w:tcPr>
            <w:tcW w:w="1436" w:type="dxa"/>
            <w:vMerge w:val="restart"/>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p>
        </w:tc>
        <w:tc>
          <w:tcPr>
            <w:tcW w:w="4573"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102</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96 - 99</w:t>
            </w:r>
          </w:p>
        </w:tc>
      </w:tr>
      <w:tr w:rsidR="004B3133">
        <w:tc>
          <w:tcPr>
            <w:tcW w:w="1436" w:type="dxa"/>
            <w:vMerge/>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both"/>
              <w:rPr>
                <w:rFonts w:ascii="Arial" w:hAnsi="Arial" w:cs="Arial"/>
                <w:sz w:val="20"/>
                <w:szCs w:val="20"/>
              </w:rPr>
            </w:pPr>
          </w:p>
        </w:tc>
        <w:tc>
          <w:tcPr>
            <w:tcW w:w="4573"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120</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120 - 123</w:t>
            </w:r>
          </w:p>
        </w:tc>
      </w:tr>
      <w:tr w:rsidR="004B3133">
        <w:tc>
          <w:tcPr>
            <w:tcW w:w="1436" w:type="dxa"/>
            <w:vMerge w:val="restart"/>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bookmarkStart w:id="2" w:name="Par235"/>
            <w:bookmarkEnd w:id="2"/>
            <w:r>
              <w:rPr>
                <w:rFonts w:ascii="Arial" w:hAnsi="Arial" w:cs="Arial"/>
                <w:sz w:val="20"/>
                <w:szCs w:val="20"/>
              </w:rPr>
              <w:lastRenderedPageBreak/>
              <w:t>Блок 2</w:t>
            </w:r>
          </w:p>
        </w:tc>
        <w:tc>
          <w:tcPr>
            <w:tcW w:w="4573"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6 - 12</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9 - 18</w:t>
            </w:r>
          </w:p>
        </w:tc>
      </w:tr>
      <w:tr w:rsidR="004B3133">
        <w:tc>
          <w:tcPr>
            <w:tcW w:w="1436" w:type="dxa"/>
            <w:vMerge/>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both"/>
              <w:rPr>
                <w:rFonts w:ascii="Arial" w:hAnsi="Arial" w:cs="Arial"/>
                <w:sz w:val="20"/>
                <w:szCs w:val="20"/>
              </w:rPr>
            </w:pPr>
          </w:p>
        </w:tc>
        <w:tc>
          <w:tcPr>
            <w:tcW w:w="4573"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6 - 12</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9 - 18</w:t>
            </w:r>
          </w:p>
        </w:tc>
      </w:tr>
      <w:tr w:rsidR="004B3133">
        <w:tc>
          <w:tcPr>
            <w:tcW w:w="1436" w:type="dxa"/>
            <w:vMerge w:val="restart"/>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bookmarkStart w:id="3" w:name="Par242"/>
            <w:bookmarkEnd w:id="3"/>
            <w:r>
              <w:rPr>
                <w:rFonts w:ascii="Arial" w:hAnsi="Arial" w:cs="Arial"/>
                <w:sz w:val="20"/>
                <w:szCs w:val="20"/>
              </w:rPr>
              <w:t>Блок 3</w:t>
            </w:r>
          </w:p>
        </w:tc>
        <w:tc>
          <w:tcPr>
            <w:tcW w:w="4573"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4B3133">
        <w:tc>
          <w:tcPr>
            <w:tcW w:w="1436" w:type="dxa"/>
            <w:vMerge/>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both"/>
              <w:rPr>
                <w:rFonts w:ascii="Arial" w:hAnsi="Arial" w:cs="Arial"/>
                <w:sz w:val="20"/>
                <w:szCs w:val="20"/>
              </w:rPr>
            </w:pPr>
          </w:p>
        </w:tc>
        <w:tc>
          <w:tcPr>
            <w:tcW w:w="4573"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4B3133">
        <w:tc>
          <w:tcPr>
            <w:tcW w:w="6009" w:type="dxa"/>
            <w:gridSpan w:val="2"/>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бакалавриата</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c>
          <w:tcPr>
            <w:tcW w:w="1815" w:type="dxa"/>
            <w:tcBorders>
              <w:top w:val="single" w:sz="4" w:space="0" w:color="auto"/>
              <w:left w:val="single" w:sz="4" w:space="0" w:color="auto"/>
              <w:bottom w:val="single" w:sz="4" w:space="0" w:color="auto"/>
              <w:right w:val="single" w:sz="4" w:space="0" w:color="auto"/>
            </w:tcBorders>
          </w:tcPr>
          <w:p w:rsidR="004B3133" w:rsidRDefault="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6.4. Дисциплины (модули) по философии, истории, иностранному языку, безопасности жизнедеятельности реализуются в рамках базовой части </w:t>
      </w:r>
      <w:hyperlink w:anchor="Par224" w:history="1">
        <w:r>
          <w:rPr>
            <w:rFonts w:ascii="Arial" w:hAnsi="Arial" w:cs="Arial"/>
            <w:color w:val="0000FF"/>
            <w:sz w:val="20"/>
            <w:szCs w:val="20"/>
          </w:rPr>
          <w:t>Блока 1</w:t>
        </w:r>
      </w:hyperlink>
      <w:r>
        <w:rPr>
          <w:rFonts w:ascii="Arial" w:hAnsi="Arial" w:cs="Arial"/>
          <w:sz w:val="20"/>
          <w:szCs w:val="20"/>
        </w:rPr>
        <w:t xml:space="preserve">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Дисциплины (модули) по физической культуре и спорту реализуются в рамках: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базовой части </w:t>
      </w:r>
      <w:hyperlink w:anchor="Par224" w:history="1">
        <w:r>
          <w:rPr>
            <w:rFonts w:ascii="Arial" w:hAnsi="Arial" w:cs="Arial"/>
            <w:color w:val="0000FF"/>
            <w:sz w:val="20"/>
            <w:szCs w:val="20"/>
          </w:rPr>
          <w:t>Блока 1</w:t>
        </w:r>
      </w:hyperlink>
      <w:r>
        <w:rPr>
          <w:rFonts w:ascii="Arial" w:hAnsi="Arial" w:cs="Arial"/>
          <w:sz w:val="20"/>
          <w:szCs w:val="20"/>
        </w:rPr>
        <w:t xml:space="preserve"> "Дисциплины (модули)" программы бакалавриата в объеме не менее 72 академических часов (2 зачетные единицы) в очной форме обучения;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В </w:t>
      </w:r>
      <w:hyperlink w:anchor="Par235" w:history="1">
        <w:r>
          <w:rPr>
            <w:rFonts w:ascii="Arial" w:hAnsi="Arial" w:cs="Arial"/>
            <w:color w:val="0000FF"/>
            <w:sz w:val="20"/>
            <w:szCs w:val="20"/>
          </w:rPr>
          <w:t>Блок 2</w:t>
        </w:r>
      </w:hyperlink>
      <w:r>
        <w:rPr>
          <w:rFonts w:ascii="Arial" w:hAnsi="Arial" w:cs="Arial"/>
          <w:sz w:val="20"/>
          <w:szCs w:val="20"/>
        </w:rPr>
        <w:t xml:space="preserve"> "Практики" входят учебная и производственная, в том числе преддипломная, практики.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учебной практики: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учебной практики: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 (в том числе технологическая практика, педагогическая практика);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работа.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Способы проведения производственной практики: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Учебная и (или) производственная практики могут проводиться в структурных подразделениях организации.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В </w:t>
      </w:r>
      <w:hyperlink w:anchor="Par242"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вариативной части </w:t>
      </w:r>
      <w:hyperlink w:anchor="Par224" w:history="1">
        <w:r>
          <w:rPr>
            <w:rFonts w:ascii="Arial" w:hAnsi="Arial" w:cs="Arial"/>
            <w:color w:val="0000FF"/>
            <w:sz w:val="20"/>
            <w:szCs w:val="20"/>
          </w:rPr>
          <w:t>Блока 1</w:t>
        </w:r>
      </w:hyperlink>
      <w:r>
        <w:rPr>
          <w:rFonts w:ascii="Arial" w:hAnsi="Arial" w:cs="Arial"/>
          <w:sz w:val="20"/>
          <w:szCs w:val="20"/>
        </w:rPr>
        <w:t xml:space="preserve"> "Дисциплины (модули)".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6.10. Количество часов, отведенных на занятия лекционного типа в целом по </w:t>
      </w:r>
      <w:hyperlink w:anchor="Par224" w:history="1">
        <w:r>
          <w:rPr>
            <w:rFonts w:ascii="Arial" w:hAnsi="Arial" w:cs="Arial"/>
            <w:color w:val="0000FF"/>
            <w:sz w:val="20"/>
            <w:szCs w:val="20"/>
          </w:rPr>
          <w:t>Блоку 1</w:t>
        </w:r>
      </w:hyperlink>
      <w:r>
        <w:rPr>
          <w:rFonts w:ascii="Arial" w:hAnsi="Arial" w:cs="Arial"/>
          <w:sz w:val="20"/>
          <w:szCs w:val="20"/>
        </w:rPr>
        <w:t xml:space="preserve"> "Дисциплины (модули)", должно составлять не более 50 процентов от общего количества часов аудиторных занятий, отведенных на реализацию данного Блока.</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w:t>
      </w:r>
    </w:p>
    <w:p w:rsidR="004B3133" w:rsidRDefault="004B3133" w:rsidP="004B3133">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БАКАЛАВРИАТА</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программы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0"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Федеральный </w:t>
      </w:r>
      <w:hyperlink r:id="rId11"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2" w:history="1">
        <w:r>
          <w:rPr>
            <w:rFonts w:ascii="Arial" w:hAnsi="Arial" w:cs="Arial"/>
            <w:color w:val="0000FF"/>
            <w:sz w:val="20"/>
            <w:szCs w:val="20"/>
          </w:rPr>
          <w:t>разделе</w:t>
        </w:r>
      </w:hyperlink>
      <w:r>
        <w:rPr>
          <w:rFonts w:ascii="Arial" w:hAnsi="Arial" w:cs="Arial"/>
          <w:sz w:val="20"/>
          <w:szCs w:val="20"/>
        </w:rP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7.1.7. В организации, реализующей программы бакалавриата,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3" w:history="1">
        <w:r>
          <w:rPr>
            <w:rFonts w:ascii="Arial" w:hAnsi="Arial" w:cs="Arial"/>
            <w:color w:val="0000FF"/>
            <w:sz w:val="20"/>
            <w:szCs w:val="20"/>
          </w:rPr>
          <w:t>Пункт 4</w:t>
        </w:r>
      </w:hyperlink>
      <w:r>
        <w:rPr>
          <w:rFonts w:ascii="Arial" w:hAnsi="Arial" w:cs="Arial"/>
          <w:sz w:val="20"/>
          <w:szCs w:val="20"/>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50 процентов.</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инвалидов и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программы бакалавриата.</w:t>
      </w:r>
    </w:p>
    <w:p w:rsidR="004B3133" w:rsidRDefault="004B3133" w:rsidP="004B3133">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4"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autoSpaceDE w:val="0"/>
        <w:autoSpaceDN w:val="0"/>
        <w:adjustRightInd w:val="0"/>
        <w:spacing w:after="0" w:line="240" w:lineRule="auto"/>
        <w:jc w:val="both"/>
        <w:rPr>
          <w:rFonts w:ascii="Arial" w:hAnsi="Arial" w:cs="Arial"/>
          <w:sz w:val="20"/>
          <w:szCs w:val="20"/>
        </w:rPr>
      </w:pPr>
    </w:p>
    <w:p w:rsidR="004B3133" w:rsidRDefault="004B3133" w:rsidP="004B3133">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4B3133">
      <w:bookmarkStart w:id="4" w:name="_GoBack"/>
      <w:bookmarkEnd w:id="4"/>
    </w:p>
    <w:sectPr w:rsidR="00363C1B" w:rsidSect="00180BF2">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435"/>
    <w:rsid w:val="000A1D57"/>
    <w:rsid w:val="002F3ACB"/>
    <w:rsid w:val="004B3133"/>
    <w:rsid w:val="00CD2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0D8A0CF916DC9B6D0D9CB30DC86DD849FBE30301216190F0991CAB7DC9F8E6FDDC54F6D76AE5BC3BD4AFC968110AA000CCCD6CB91DADBCFJ9V3H" TargetMode="External"/><Relationship Id="rId13" Type="http://schemas.openxmlformats.org/officeDocument/2006/relationships/hyperlink" Target="consultantplus://offline/ref=20D8A0CF916DC9B6D0D9CB30DC86DD849FBD38321C1B190F0991CAB7DC9F8E6FDDC54F6D76AE5FC3BF4AFC968110AA000CCCD6CB91DADBCFJ9V3H" TargetMode="External"/><Relationship Id="rId3" Type="http://schemas.openxmlformats.org/officeDocument/2006/relationships/settings" Target="settings.xml"/><Relationship Id="rId7" Type="http://schemas.openxmlformats.org/officeDocument/2006/relationships/hyperlink" Target="consultantplus://offline/ref=20D8A0CF916DC9B6D0D9CB30DC86DD849FB93E331F15190F0991CAB7DC9F8E6FCFC5176177A941C3B95FAAC7C4J4VDH" TargetMode="External"/><Relationship Id="rId12" Type="http://schemas.openxmlformats.org/officeDocument/2006/relationships/hyperlink" Target="consultantplus://offline/ref=20D8A0CF916DC9B6D0D9CB30DC86DD849FB93A331B15190F0991CAB7DC9F8E6FDDC54F6D76AE5FC3B94AFC968110AA000CCCD6CB91DADBCFJ9V3H"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0D8A0CF916DC9B6D0D9CB30DC86DD849CB03F311B1B190F0991CAB7DC9F8E6FDDC54F6D76AE5FC6BB4AFC968110AA000CCCD6CB91DADBCFJ9V3H" TargetMode="External"/><Relationship Id="rId11" Type="http://schemas.openxmlformats.org/officeDocument/2006/relationships/hyperlink" Target="consultantplus://offline/ref=20D8A0CF916DC9B6D0D9CB30DC86DD849CB03E3E1F1A190F0991CAB7DC9F8E6FCFC5176177A941C3B95FAAC7C4J4VDH" TargetMode="External"/><Relationship Id="rId5" Type="http://schemas.openxmlformats.org/officeDocument/2006/relationships/hyperlink" Target="http://www.consultant.ru" TargetMode="External"/><Relationship Id="rId15" Type="http://schemas.openxmlformats.org/officeDocument/2006/relationships/fontTable" Target="fontTable.xml"/><Relationship Id="rId10" Type="http://schemas.openxmlformats.org/officeDocument/2006/relationships/hyperlink" Target="consultantplus://offline/ref=20D8A0CF916DC9B6D0D9CB30DC86DD849DB83A3E1D16190F0991CAB7DC9F8E6FCFC5176177A941C3B95FAAC7C4J4VDH" TargetMode="External"/><Relationship Id="rId4" Type="http://schemas.openxmlformats.org/officeDocument/2006/relationships/webSettings" Target="webSettings.xml"/><Relationship Id="rId9" Type="http://schemas.openxmlformats.org/officeDocument/2006/relationships/hyperlink" Target="consultantplus://offline/ref=20D8A0CF916DC9B6D0D9CB30DC86DD849CB13E311F10190F0991CAB7DC9F8E6FDDC54F6D76AE5FC0B84AFC968110AA000CCCD6CB91DADBCFJ9V3H" TargetMode="External"/><Relationship Id="rId14" Type="http://schemas.openxmlformats.org/officeDocument/2006/relationships/hyperlink" Target="consultantplus://offline/ref=20D8A0CF916DC9B6D0D9CB30DC86DD849FBD3A361A13190F0991CAB7DC9F8E6FDDC54F6D76AE5FC3BB4AFC968110AA000CCCD6CB91DADBCFJ9V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6991</Words>
  <Characters>39853</Characters>
  <Application>Microsoft Office Word</Application>
  <DocSecurity>0</DocSecurity>
  <Lines>332</Lines>
  <Paragraphs>93</Paragraphs>
  <ScaleCrop>false</ScaleCrop>
  <Company/>
  <LinksUpToDate>false</LinksUpToDate>
  <CharactersWithSpaces>46751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2018-10-17T07:21:00Z</dcterms:created>
  <dcterms:modified xsi:type="dcterms:W3CDTF">2018-10-17T07:21:00Z</dcterms:modified>
</cp:coreProperties>
</file>