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7 сентября 2020 г. N 59673</w:t>
      </w:r>
    </w:p>
    <w:p w:rsidR="00A55532" w:rsidRDefault="00A55532" w:rsidP="00A5553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МИНИСТЕРСТВО НАУКИ И ВЫСШЕГО ОБРАЗОВАНИЯ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РОССИЙСКОЙ ФЕДЕРАЦИИ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ПРИКАЗ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от 13 августа 2020 г. N 1011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УТВЕРЖДЕНИИ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ФЕДЕРАЛЬНОГО ГОСУДАРСТВЕННОГО ОБРАЗОВАТЕЛЬНОГО СТАНДАРТА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40.03.01 ЮРИСПРУДЕНЦИЯ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55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подпунктом 4.2.38 пункта 4.2</w:t>
        </w:r>
      </w:hyperlink>
      <w:r>
        <w:rPr>
          <w:rFonts w:ascii="Arial" w:hAnsi="Arial" w:cs="Arial"/>
          <w:sz w:val="20"/>
          <w:szCs w:val="20"/>
        </w:rP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rPr>
          <w:rFonts w:ascii="Arial" w:hAnsi="Arial" w:cs="Arial"/>
          <w:sz w:val="20"/>
          <w:szCs w:val="20"/>
        </w:rPr>
        <w:t xml:space="preserve">2020, N 13, ст. 1944), и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пунктом 27</w:t>
        </w:r>
      </w:hyperlink>
      <w:r>
        <w:rPr>
          <w:rFonts w:ascii="Arial" w:hAnsi="Arial" w:cs="Arial"/>
          <w:sz w:val="20"/>
          <w:szCs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прилагаемый федеральный государственный образовательный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- </w:t>
      </w:r>
      <w:proofErr w:type="spellStart"/>
      <w:r>
        <w:rPr>
          <w:rFonts w:ascii="Arial" w:hAnsi="Arial" w:cs="Arial"/>
          <w:sz w:val="20"/>
          <w:szCs w:val="20"/>
        </w:rPr>
        <w:t>бакалавриат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40.03.01 Юриспруденция (далее - стандарт).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Установить, что: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образовательная организация высшего образования вправе осуществлять в соответствии со </w:t>
      </w:r>
      <w:hyperlink w:anchor="Par37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обучение лиц, зачисленных до вступления в силу настоящего приказа, с их согласия;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прием на обучение в соответствии с федеральным государственным образовательным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стандартом</w:t>
        </w:r>
      </w:hyperlink>
      <w:r>
        <w:rPr>
          <w:rFonts w:ascii="Arial" w:hAnsi="Arial" w:cs="Arial"/>
          <w:sz w:val="20"/>
          <w:szCs w:val="20"/>
        </w:rPr>
        <w:t xml:space="preserve"> высшего образования по направлению подготовки 40.03.01 Юриспруденция (уровень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), утвержденным приказом Министерства образования и науки Российской Федерации от 1 декабря 2016 г. N 1511 (зарегистрирован Министерством юстиции Российской Федерации 29 декабря 2016 г., регистрационный N 45038), с изменениями, внесенными приказами Министерства образования и науки Российской Федерации от 13 июля 2017</w:t>
      </w:r>
      <w:proofErr w:type="gramEnd"/>
      <w:r>
        <w:rPr>
          <w:rFonts w:ascii="Arial" w:hAnsi="Arial" w:cs="Arial"/>
          <w:sz w:val="20"/>
          <w:szCs w:val="20"/>
        </w:rPr>
        <w:t xml:space="preserve"> г. N 653 (зарегистрирован Министерством юстиции Российской Федерации 7 августа 2017 г., регистрационный N 47703) и от 11 января 2018 г. N 28 (зарегистрирован Министерством юстиции Российской Федерации 1 февраля 2018 г., регистрационный N 49867), прекращается 31 декабря 2020 года.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Врио</w:t>
      </w:r>
      <w:proofErr w:type="spellEnd"/>
      <w:r>
        <w:rPr>
          <w:rFonts w:ascii="Arial" w:hAnsi="Arial" w:cs="Arial"/>
          <w:sz w:val="20"/>
          <w:szCs w:val="20"/>
        </w:rPr>
        <w:t xml:space="preserve"> Министра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А.В.НАРУКАВНИКОВ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lastRenderedPageBreak/>
        <w:t>Приложение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Министерства науки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высшего образования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13 августа 2020 г. N 1011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bookmarkStart w:id="1" w:name="Par37"/>
      <w:bookmarkEnd w:id="1"/>
      <w:r>
        <w:rPr>
          <w:rFonts w:ascii="Arial" w:eastAsiaTheme="minorHAnsi" w:hAnsi="Arial" w:cs="Arial"/>
          <w:color w:val="auto"/>
          <w:sz w:val="20"/>
          <w:szCs w:val="20"/>
        </w:rPr>
        <w:t>ФЕДЕРАЛЬНЫЙ ГОСУДАРСТВЕННЫЙ ОБРАЗОВАТЕЛЬНЫЙ СТАНДАРТ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ВЫСШЕГО ОБРАЗОВАНИЯ - БАКАЛАВРИАТ ПО НАПРАВЛЕНИЮ ПОДГОТОВКИ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40.03.01 ЮРИСПРУДЕНЦИЯ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555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>Список изменяющих документов</w:t>
            </w:r>
          </w:p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(в ред. </w:t>
            </w: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92C69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color w:val="392C69"/>
                <w:sz w:val="20"/>
                <w:szCs w:val="20"/>
              </w:rPr>
              <w:t xml:space="preserve"> России от 26.11.2020 N 1456)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  <w:sz w:val="20"/>
                <w:szCs w:val="20"/>
              </w:rPr>
            </w:pPr>
          </w:p>
        </w:tc>
      </w:tr>
    </w:tbl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I. Общие положения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направлению подготовки 40.03.01 Юриспруденция (далее соответственно -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направление подготовки).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1.2. Получение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только в образовательной организации высшего образования (далее - Организация).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1.3. </w:t>
      </w:r>
      <w:proofErr w:type="gramStart"/>
      <w:r>
        <w:rPr>
          <w:rFonts w:ascii="Arial" w:hAnsi="Arial" w:cs="Arial"/>
          <w:sz w:val="20"/>
          <w:szCs w:val="20"/>
        </w:rPr>
        <w:t xml:space="preserve">Обучение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Организации может осуществляться в очной, очно-заочной и заочной &lt;1&gt; формах.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&lt;1&gt; </w:t>
      </w:r>
      <w:proofErr w:type="gramStart"/>
      <w:r>
        <w:rPr>
          <w:rFonts w:ascii="Arial" w:hAnsi="Arial" w:cs="Arial"/>
          <w:sz w:val="20"/>
          <w:szCs w:val="20"/>
        </w:rPr>
        <w:t>Обучение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допускается в заочной форме лиц, имеющих среднее профессиональное образование по специальности, входящей в укрупненную группу специальностей среднего профессионального образования 40.00.00 Юриспруденция или при получении лицами второго или последующего высшего образования.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1.4. Содержание высшего образования по направлению подготовки определяется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разрабатываемой и утверждаемой Организацией самостоятельно.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Организация разрабатывает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1.5.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вправе применять электронное обучение, дистанционные образовательные технологии.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1.6.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осуществляется Организацией как самостоятельно, так и посредством сетевой формы.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1.7.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&lt;2&gt;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Статья 14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0"/>
      <w:bookmarkEnd w:id="2"/>
      <w:r>
        <w:rPr>
          <w:rFonts w:ascii="Arial" w:hAnsi="Arial" w:cs="Arial"/>
          <w:sz w:val="20"/>
          <w:szCs w:val="20"/>
        </w:rPr>
        <w:t xml:space="preserve">1.8. 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(вне зависимости от применяемых образовательных технологий):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</w:t>
      </w:r>
      <w:proofErr w:type="gramStart"/>
      <w:r>
        <w:rPr>
          <w:rFonts w:ascii="Arial" w:hAnsi="Arial" w:cs="Arial"/>
          <w:sz w:val="20"/>
          <w:szCs w:val="20"/>
        </w:rPr>
        <w:t>обучении</w:t>
      </w:r>
      <w:proofErr w:type="gramEnd"/>
      <w:r>
        <w:rPr>
          <w:rFonts w:ascii="Arial" w:hAnsi="Arial" w:cs="Arial"/>
          <w:sz w:val="20"/>
          <w:szCs w:val="20"/>
        </w:rP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4"/>
      <w:bookmarkEnd w:id="3"/>
      <w:r>
        <w:rPr>
          <w:rFonts w:ascii="Arial" w:hAnsi="Arial" w:cs="Arial"/>
          <w:sz w:val="20"/>
          <w:szCs w:val="20"/>
        </w:rPr>
        <w:t xml:space="preserve">1.9.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составляет 240 зачетных единиц (далее -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.),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реализуемый за один учебный год, составляет не более 70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вне зависимости от формы обучения, применяемых образовательных технологий,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использованием сетевой формы,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индивидуальному учебному плану (за исключением ускоренного обучения), а при ускоренном обучении - не более 80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1.10. Организация самостоятельно определяет в пределах сроков и объемов, установленных </w:t>
      </w:r>
      <w:hyperlink w:anchor="Par60" w:history="1">
        <w:r>
          <w:rPr>
            <w:rFonts w:ascii="Arial" w:hAnsi="Arial" w:cs="Arial"/>
            <w:color w:val="0000FF"/>
            <w:sz w:val="20"/>
            <w:szCs w:val="20"/>
          </w:rPr>
          <w:t>пунктами 1.8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4" w:history="1">
        <w:r>
          <w:rPr>
            <w:rFonts w:ascii="Arial" w:hAnsi="Arial" w:cs="Arial"/>
            <w:color w:val="0000FF"/>
            <w:sz w:val="20"/>
            <w:szCs w:val="20"/>
          </w:rPr>
          <w:t>1.9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срок получения образования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очно-заочной или заочной формах обучения, а также по индивидуальному учебному плану, в том числе при ускоренном обучении;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реализуемый за один учебный год.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69"/>
      <w:bookmarkEnd w:id="4"/>
      <w:r>
        <w:rPr>
          <w:rFonts w:ascii="Arial" w:hAnsi="Arial" w:cs="Arial"/>
          <w:sz w:val="20"/>
          <w:szCs w:val="20"/>
        </w:rPr>
        <w:t xml:space="preserve">1.11. Область профессиональной деятельности &lt;3&gt;, в которой выпускники, освоившие программу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(далее - выпускники), могут осуществлять профессиональную деятельность: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&lt;3&gt;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Таблица</w:t>
        </w:r>
      </w:hyperlink>
      <w:r>
        <w:rPr>
          <w:rFonts w:ascii="Arial" w:hAnsi="Arial" w:cs="Arial"/>
          <w:sz w:val="20"/>
          <w:szCs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Российской Федерации 29 марта 2017 г., регистрационный N 46168).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09</w:t>
        </w:r>
      </w:hyperlink>
      <w:r>
        <w:rPr>
          <w:rFonts w:ascii="Arial" w:hAnsi="Arial" w:cs="Arial"/>
          <w:sz w:val="20"/>
          <w:szCs w:val="20"/>
        </w:rPr>
        <w:t xml:space="preserve"> Юриспруденция (в сферах: разработки и реализации правовых норм; обеспечения законности и правопорядка; оказания правовой помощи физическим и юридическим лицам).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75"/>
      <w:bookmarkEnd w:id="5"/>
      <w:r>
        <w:rPr>
          <w:rFonts w:ascii="Arial" w:hAnsi="Arial" w:cs="Arial"/>
          <w:sz w:val="20"/>
          <w:szCs w:val="20"/>
        </w:rPr>
        <w:t xml:space="preserve">1.12. В рамках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выпускники могут готовиться к решению задач профессиональной деятельности следующих типов: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нормотворческий;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правоприменительный;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правоохранительный;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экспертно-консультационный.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1.13.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устанавливает направленность (профиль)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которая соответствует направлению подготовки в целом или конкретизирует содержание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направления подготовки, путем ориентации ее </w:t>
      </w:r>
      <w:proofErr w:type="gramStart"/>
      <w:r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>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область профессиональной деятельности и сфера (сферы) профессиональной деятельности выпускников;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 (типы) задач и задачи профессиональной деятельности выпускников;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необходимости - на объекты профессиональной деятельности выпускников или область (области) знания.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1.14.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II. Требования к структуре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2.1. Структура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включает следующие блоки.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Структура и объем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Таблица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4535"/>
        <w:gridCol w:w="3572"/>
      </w:tblGrid>
      <w:tr w:rsidR="00A55532"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Структура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ее блоков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з.е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5553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6" w:name="Par99"/>
            <w:bookmarkEnd w:id="6"/>
            <w:r>
              <w:rPr>
                <w:rFonts w:ascii="Arial" w:hAnsi="Arial" w:cs="Arial"/>
                <w:sz w:val="20"/>
                <w:szCs w:val="20"/>
              </w:rPr>
              <w:t>Блок 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Дисциплины (модули)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200</w:t>
            </w:r>
          </w:p>
        </w:tc>
      </w:tr>
      <w:tr w:rsidR="00A5553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7" w:name="Par102"/>
            <w:bookmarkEnd w:id="7"/>
            <w:r>
              <w:rPr>
                <w:rFonts w:ascii="Arial" w:hAnsi="Arial" w:cs="Arial"/>
                <w:sz w:val="20"/>
                <w:szCs w:val="20"/>
              </w:rPr>
              <w:t>Блок 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Практика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менее 15</w:t>
            </w:r>
          </w:p>
        </w:tc>
      </w:tr>
      <w:tr w:rsidR="00A55532"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8" w:name="Par105"/>
            <w:bookmarkEnd w:id="8"/>
            <w:r>
              <w:rPr>
                <w:rFonts w:ascii="Arial" w:hAnsi="Arial" w:cs="Arial"/>
                <w:sz w:val="20"/>
                <w:szCs w:val="20"/>
              </w:rPr>
              <w:t>Блок 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Государственная итоговая аттестация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6 - 9</w:t>
            </w:r>
          </w:p>
        </w:tc>
      </w:tr>
      <w:tr w:rsidR="00A55532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  <w:tr w:rsidR="00A55532">
        <w:tc>
          <w:tcPr>
            <w:tcW w:w="5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Объем программы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</w:tbl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9" w:name="Par112"/>
      <w:bookmarkEnd w:id="9"/>
      <w:r>
        <w:rPr>
          <w:rFonts w:ascii="Arial" w:hAnsi="Arial" w:cs="Arial"/>
          <w:sz w:val="20"/>
          <w:szCs w:val="20"/>
        </w:rPr>
        <w:t xml:space="preserve">2.2. </w:t>
      </w:r>
      <w:proofErr w:type="gramStart"/>
      <w:r>
        <w:rPr>
          <w:rFonts w:ascii="Arial" w:hAnsi="Arial" w:cs="Arial"/>
          <w:sz w:val="20"/>
          <w:szCs w:val="20"/>
        </w:rPr>
        <w:t xml:space="preserve">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философии, истории государства и права России, истории государства и права зарубежных стран, иностранному языку, иностранному языку в сфере юриспруденции, безопасности жизнедеятельности, теории государства и права, конституционному праву, административному праву, гражданскому праву, гражданскому процессу, арбитражному процессу, трудовому праву, уголовному праву, уголовному процессу, экологическому праву, земельному праву, финансовому праву, налоговому праву, предпринимательскому праву, международному</w:t>
      </w:r>
      <w:proofErr w:type="gramEnd"/>
      <w:r>
        <w:rPr>
          <w:rFonts w:ascii="Arial" w:hAnsi="Arial" w:cs="Arial"/>
          <w:sz w:val="20"/>
          <w:szCs w:val="20"/>
        </w:rPr>
        <w:t xml:space="preserve"> праву, международному частному праву, криминалистике, криминологии, </w:t>
      </w:r>
      <w:proofErr w:type="gramStart"/>
      <w:r>
        <w:rPr>
          <w:rFonts w:ascii="Arial" w:hAnsi="Arial" w:cs="Arial"/>
          <w:sz w:val="20"/>
          <w:szCs w:val="20"/>
        </w:rPr>
        <w:t>праву социального обеспечения</w:t>
      </w:r>
      <w:proofErr w:type="gramEnd"/>
      <w:r>
        <w:rPr>
          <w:rFonts w:ascii="Arial" w:hAnsi="Arial" w:cs="Arial"/>
          <w:sz w:val="20"/>
          <w:szCs w:val="20"/>
        </w:rPr>
        <w:t xml:space="preserve">, семейному праву, информационным технологиям в юридической деятельности в рамках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обеспечивать реализацию дисциплин (модулей) по физической культуре и спорту: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объеме не менее 2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в рамках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в объеме не менее 328 академических часов, которые являются обязательными для освоения, не переводятся в </w:t>
      </w:r>
      <w:proofErr w:type="spellStart"/>
      <w:r>
        <w:rPr>
          <w:rFonts w:ascii="Arial" w:hAnsi="Arial" w:cs="Arial"/>
          <w:sz w:val="20"/>
          <w:szCs w:val="20"/>
        </w:rPr>
        <w:t>з.е</w:t>
      </w:r>
      <w:proofErr w:type="spellEnd"/>
      <w:r>
        <w:rPr>
          <w:rFonts w:ascii="Arial" w:hAnsi="Arial" w:cs="Arial"/>
          <w:sz w:val="20"/>
          <w:szCs w:val="20"/>
        </w:rPr>
        <w:t xml:space="preserve">. и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 рамках элективных дисциплин (модулей) в очной форме обучения.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0" w:name="Par117"/>
      <w:bookmarkEnd w:id="10"/>
      <w:r>
        <w:rPr>
          <w:rFonts w:ascii="Arial" w:hAnsi="Arial" w:cs="Arial"/>
          <w:sz w:val="20"/>
          <w:szCs w:val="20"/>
        </w:rPr>
        <w:t xml:space="preserve">2.4. В </w:t>
      </w:r>
      <w:hyperlink w:anchor="Par102" w:history="1">
        <w:r>
          <w:rPr>
            <w:rFonts w:ascii="Arial" w:hAnsi="Arial" w:cs="Arial"/>
            <w:color w:val="0000FF"/>
            <w:sz w:val="20"/>
            <w:szCs w:val="20"/>
          </w:rPr>
          <w:t>Блок 2</w:t>
        </w:r>
      </w:hyperlink>
      <w:r>
        <w:rPr>
          <w:rFonts w:ascii="Arial" w:hAnsi="Arial" w:cs="Arial"/>
          <w:sz w:val="20"/>
          <w:szCs w:val="20"/>
        </w:rPr>
        <w:t xml:space="preserve"> "Практика" входят учебная и производственная практики (далее вместе - практики).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учебной практики: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ознакомительная практика;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правоприменительная практика.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Типы производственной практики: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правоприменительная практика;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проектная практика;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преддипломная практика.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2.5. В дополнение к типам практик, указанным в </w:t>
      </w:r>
      <w:hyperlink w:anchor="Par117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ВО, ПООП может также содержать рекомендуемые типы практик.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Организация: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ar117" w:history="1">
        <w:r>
          <w:rPr>
            <w:rFonts w:ascii="Arial" w:hAnsi="Arial" w:cs="Arial"/>
            <w:color w:val="0000FF"/>
            <w:sz w:val="20"/>
            <w:szCs w:val="20"/>
          </w:rPr>
          <w:t>пункте 2.4</w:t>
        </w:r>
      </w:hyperlink>
      <w:r>
        <w:rPr>
          <w:rFonts w:ascii="Arial" w:hAnsi="Arial" w:cs="Arial"/>
          <w:sz w:val="20"/>
          <w:szCs w:val="20"/>
        </w:rPr>
        <w:t xml:space="preserve"> ФГОС ВО;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rPr>
          <w:rFonts w:ascii="Arial" w:hAnsi="Arial" w:cs="Arial"/>
          <w:sz w:val="20"/>
          <w:szCs w:val="20"/>
        </w:rPr>
        <w:t>из</w:t>
      </w:r>
      <w:proofErr w:type="gramEnd"/>
      <w:r>
        <w:rPr>
          <w:rFonts w:ascii="Arial" w:hAnsi="Arial" w:cs="Arial"/>
          <w:sz w:val="20"/>
          <w:szCs w:val="20"/>
        </w:rPr>
        <w:t xml:space="preserve"> рекомендуемых ПООП (при наличии);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вправе установить дополнительный тип (типы) учебной и (или) производственной практик;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устанавливает объемы практик каждого типа.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2.7. В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входят: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подготовка к сдаче и сдача государственного экзамена;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выполнение, подготовка к процедуре защиты и защита выпускной квалификационной работы (если Организация включила защиту выпускной квалификационной работы в состав государственной итоговой аттестации).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2.8. При разработке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Факультативные дисциплины (модули) не включаются в объем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2.9. В рамках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выделяются обязательная часть и часть, формируемая участниками образовательных отношений.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 обязательной части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включаются, в том числе: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дисциплины (модули), указанные в </w:t>
      </w:r>
      <w:hyperlink w:anchor="Par112" w:history="1">
        <w:r>
          <w:rPr>
            <w:rFonts w:ascii="Arial" w:hAnsi="Arial" w:cs="Arial"/>
            <w:color w:val="0000FF"/>
            <w:sz w:val="20"/>
            <w:szCs w:val="20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дисциплины (модули) по физической культуре и спорту, реализуемые в рамках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Блока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(или) в часть, формируемую участниками образовательных отношений.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Объем обязательной части без учета объема государственной итоговой аттестации должен составлять не менее 60 процентов общего объема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rPr>
          <w:rFonts w:ascii="Arial" w:hAnsi="Arial" w:cs="Arial"/>
          <w:sz w:val="20"/>
          <w:szCs w:val="20"/>
        </w:rPr>
        <w:t>обучения по программе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III. Требования к результатам освоения</w:t>
      </w: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В результате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у выпускника должны быть сформированы компетенции, установленные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универсальные компетенции: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универсальных компетенций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универсальной компетенции выпускника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Системное и критическое мышление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Разработка и реализация проектов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Командная работа и лидерство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Коммуникация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языке(ах)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Межкультурное взаимодействие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A55532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Самоорганизация и саморазвитие (в том числе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здоровьесбережение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A55532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Инклюзивная компетентность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Экономическая культура, в том числе финансовая грамотность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УК-10.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Гражданская позиция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УК-11.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формировать нетерпимое отношение к коррупционному поведению</w:t>
            </w:r>
          </w:p>
        </w:tc>
      </w:tr>
    </w:tbl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Программа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должна устанавливать следующие общепрофессиональные компетенции: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6860"/>
      </w:tblGrid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и наименование общепрофессиональной компетенции выпускника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Юридический анализ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анализировать основные закономерности формирования, функционирования и развития права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Решение юридических проблем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ОПК-2.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применять нормы материального и процессуального права при решении задач профессиональной деятельности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Юридическая экспертиза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ОПК-3.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участвовать в экспертной юридической деятельности в рамках поставленной задачи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Толкование права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ОПК-4.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профессионально толковать нормы права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Юридическая аргументация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ОПК-5.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логически верно, аргументированно и ясно строить устную и письменную речь с единообразным и корректным использованием профессиональной юридической лексики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Юридическое письмо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ОПК-6.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участвовать в подготовке проектов нормативных правовых актов и иных юридических документов</w:t>
            </w:r>
          </w:p>
        </w:tc>
      </w:tr>
      <w:tr w:rsidR="00A5553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Профессиональная этика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ОПК-7. Способен соблюдать принципы этики юриста, в том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числе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части антикоррупционных стандартов поведения</w:t>
            </w:r>
          </w:p>
        </w:tc>
      </w:tr>
      <w:tr w:rsidR="00A55532"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Информационные технологии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ОПК-8.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целенаправленно и эффективно получать юридически значимую информацию из различных источников, включая правовые базы данных, решать задачи профессиональной деятельности с применением информационных технологий и с учетом требований информационной безопасности</w:t>
            </w:r>
          </w:p>
        </w:tc>
      </w:tr>
      <w:tr w:rsidR="00A55532"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ОПК-9.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Способен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A55532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532" w:rsidRDefault="00A555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(в ред. </w:t>
            </w: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Приказа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Минобрнауки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России от 26.11.2020 N 1456)</w:t>
            </w:r>
          </w:p>
        </w:tc>
      </w:tr>
    </w:tbl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</w:t>
      </w:r>
      <w:r>
        <w:rPr>
          <w:rFonts w:ascii="Arial" w:hAnsi="Arial" w:cs="Arial"/>
          <w:sz w:val="20"/>
          <w:szCs w:val="20"/>
        </w:rPr>
        <w:lastRenderedPageBreak/>
        <w:t>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&lt;4&gt;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Пункт 1</w:t>
        </w:r>
      </w:hyperlink>
      <w:r>
        <w:rPr>
          <w:rFonts w:ascii="Arial" w:hAnsi="Arial" w:cs="Arial"/>
          <w:sz w:val="20"/>
          <w:szCs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Федерации 29 марта 2017 г., регистрационный N 46168).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rPr>
          <w:rFonts w:ascii="Arial" w:hAnsi="Arial" w:cs="Arial"/>
          <w:sz w:val="20"/>
          <w:szCs w:val="20"/>
        </w:rPr>
        <w:t>выделена</w:t>
      </w:r>
      <w:proofErr w:type="gramEnd"/>
      <w:r>
        <w:rPr>
          <w:rFonts w:ascii="Arial" w:hAnsi="Arial" w:cs="Arial"/>
          <w:sz w:val="20"/>
          <w:szCs w:val="20"/>
        </w:rPr>
        <w:t xml:space="preserve"> полностью или частично.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&lt;5&gt;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Приказ</w:t>
        </w:r>
      </w:hyperlink>
      <w:r>
        <w:rPr>
          <w:rFonts w:ascii="Arial" w:hAnsi="Arial" w:cs="Arial"/>
          <w:sz w:val="20"/>
          <w:szCs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3.6. </w:t>
      </w:r>
      <w:proofErr w:type="gramStart"/>
      <w:r>
        <w:rPr>
          <w:rFonts w:ascii="Arial" w:hAnsi="Arial" w:cs="Arial"/>
          <w:sz w:val="20"/>
          <w:szCs w:val="20"/>
        </w:rPr>
        <w:t xml:space="preserve">Совокупность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деятельности, установленных в соответствии с </w:t>
      </w:r>
      <w:hyperlink w:anchor="Par69" w:history="1">
        <w:r>
          <w:rPr>
            <w:rFonts w:ascii="Arial" w:hAnsi="Arial" w:cs="Arial"/>
            <w:color w:val="0000FF"/>
            <w:sz w:val="20"/>
            <w:szCs w:val="20"/>
          </w:rPr>
          <w:t>пунктом 1.11</w:t>
        </w:r>
      </w:hyperlink>
      <w:r>
        <w:rPr>
          <w:rFonts w:ascii="Arial" w:hAnsi="Arial" w:cs="Arial"/>
          <w:sz w:val="20"/>
          <w:szCs w:val="20"/>
        </w:rP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пунктом 1.12</w:t>
        </w:r>
      </w:hyperlink>
      <w:r>
        <w:rPr>
          <w:rFonts w:ascii="Arial" w:hAnsi="Arial" w:cs="Arial"/>
          <w:sz w:val="20"/>
          <w:szCs w:val="20"/>
        </w:rPr>
        <w:t xml:space="preserve"> ФГОС ВО.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3.7. Организация устанавливает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индикаторы достижения компетенций самостоятельно.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3.8. Организация самостоятельно планирует результаты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практикам, которые должны быть соотнесены с установленными в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индикаторами достижения компетенций.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Совокупность запланированных результатов </w:t>
      </w:r>
      <w:proofErr w:type="gramStart"/>
      <w:r>
        <w:rPr>
          <w:rFonts w:ascii="Arial" w:hAnsi="Arial" w:cs="Arial"/>
          <w:sz w:val="20"/>
          <w:szCs w:val="20"/>
        </w:rPr>
        <w:t>обучения по дисциплинам</w:t>
      </w:r>
      <w:proofErr w:type="gramEnd"/>
      <w:r>
        <w:rPr>
          <w:rFonts w:ascii="Arial" w:hAnsi="Arial" w:cs="Arial"/>
          <w:sz w:val="20"/>
          <w:szCs w:val="20"/>
        </w:rPr>
        <w:t xml:space="preserve"> (модулям) и практикам должна обеспечивать формирование у выпускника всех компетенций, установленных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IV. Требования к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Требования к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а также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4.2. Общесистемные требования к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</w:t>
      </w:r>
      <w:r>
        <w:rPr>
          <w:rFonts w:ascii="Arial" w:hAnsi="Arial" w:cs="Arial"/>
          <w:sz w:val="20"/>
          <w:szCs w:val="20"/>
        </w:rPr>
        <w:lastRenderedPageBreak/>
        <w:t xml:space="preserve">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по </w:t>
      </w:r>
      <w:hyperlink w:anchor="Par99" w:history="1">
        <w:r>
          <w:rPr>
            <w:rFonts w:ascii="Arial" w:hAnsi="Arial" w:cs="Arial"/>
            <w:color w:val="0000FF"/>
            <w:sz w:val="20"/>
            <w:szCs w:val="20"/>
          </w:rPr>
          <w:t>Блоку 1</w:t>
        </w:r>
      </w:hyperlink>
      <w:r>
        <w:rPr>
          <w:rFonts w:ascii="Arial" w:hAnsi="Arial" w:cs="Arial"/>
          <w:sz w:val="20"/>
          <w:szCs w:val="20"/>
        </w:rPr>
        <w:t xml:space="preserve"> "Дисциплины (модули)" и </w:t>
      </w:r>
      <w:hyperlink w:anchor="Par105" w:history="1">
        <w:r>
          <w:rPr>
            <w:rFonts w:ascii="Arial" w:hAnsi="Arial" w:cs="Arial"/>
            <w:color w:val="0000FF"/>
            <w:sz w:val="20"/>
            <w:szCs w:val="20"/>
          </w:rPr>
          <w:t>Блоку 3</w:t>
        </w:r>
      </w:hyperlink>
      <w:r>
        <w:rPr>
          <w:rFonts w:ascii="Arial" w:hAnsi="Arial" w:cs="Arial"/>
          <w:sz w:val="20"/>
          <w:szCs w:val="20"/>
        </w:rPr>
        <w:t xml:space="preserve"> "Государственная итоговая аттестация" в соответствии с учебным планом.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информационно-образовательная среда Организации должна обеспечивать: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формирование электронного портфолио обучающегося, в том числе сохранение его работ и оценок за эти работы.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фиксацию хода образовательного процесса, результатов промежуточной аттестации и результатов освоения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&lt;6&gt; Федеральный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</w:t>
        </w:r>
      </w:hyperlink>
      <w:r>
        <w:rPr>
          <w:rFonts w:ascii="Arial" w:hAnsi="Arial" w:cs="Arial"/>
          <w:sz w:val="20"/>
          <w:szCs w:val="20"/>
        </w:rP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2020, N 17, ст. 2701).</w:t>
      </w:r>
      <w:proofErr w:type="gramEnd"/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4.2.3. При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 требования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сетевой форме.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4.3. Требования к материально-техническому и учебно-методическому обеспечению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Минимальный перечень материально-технического обеспечения, необходимого для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>, включает в себя учебный зал судебных заседаний, а также специализированные аудитории, оборудованные для проведения занятий по криминалистике и информационным технологиям.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Допускается замена оборудования его виртуальными аналогами.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правовым системам, состав которых определяется в рабочих программах дисциплин (модулей) и подлежит обновлению (при необходимости).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4.4. Требования к кадровым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4.4.1. Реализация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обеспечивается педагогическими работниками Организации, а также лицами, привлекаемыми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4.4.3. Не менее 70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4.4.4. </w:t>
      </w:r>
      <w:proofErr w:type="gramStart"/>
      <w:r>
        <w:rPr>
          <w:rFonts w:ascii="Arial" w:hAnsi="Arial" w:cs="Arial"/>
          <w:sz w:val="20"/>
          <w:szCs w:val="20"/>
        </w:rPr>
        <w:t xml:space="preserve">Не менее 5 процентов численности педагогических работников Организации, участвующих в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, и лиц, привлекаемых Организацией к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rPr>
          <w:rFonts w:ascii="Arial" w:hAnsi="Arial" w:cs="Arial"/>
          <w:sz w:val="20"/>
          <w:szCs w:val="20"/>
        </w:rPr>
        <w:t xml:space="preserve"> сфере не менее 3 лет).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4.4.5. </w:t>
      </w:r>
      <w:proofErr w:type="gramStart"/>
      <w:r>
        <w:rPr>
          <w:rFonts w:ascii="Arial" w:hAnsi="Arial" w:cs="Arial"/>
          <w:sz w:val="20"/>
          <w:szCs w:val="20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rPr>
          <w:rFonts w:ascii="Arial" w:hAnsi="Arial" w:cs="Arial"/>
          <w:sz w:val="20"/>
          <w:szCs w:val="20"/>
        </w:rPr>
        <w:t xml:space="preserve"> в Российской Федерации).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4.5. Требования к финансовым условиям реализации программы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4.5.1. Финансовое обеспечение реализации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&lt;7&gt;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Пункт 10</w:t>
        </w:r>
      </w:hyperlink>
      <w:r>
        <w:rPr>
          <w:rFonts w:ascii="Arial" w:hAnsi="Arial" w:cs="Arial"/>
          <w:sz w:val="20"/>
          <w:szCs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5532" w:rsidRDefault="00A55532" w:rsidP="00A55532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rPr>
          <w:rFonts w:ascii="Arial" w:eastAsiaTheme="minorHAnsi" w:hAnsi="Arial" w:cs="Arial"/>
          <w:color w:val="auto"/>
          <w:sz w:val="20"/>
          <w:szCs w:val="20"/>
        </w:rPr>
        <w:t>подготовки</w:t>
      </w:r>
      <w:proofErr w:type="gramEnd"/>
      <w:r>
        <w:rPr>
          <w:rFonts w:ascii="Arial" w:eastAsiaTheme="minorHAnsi" w:hAnsi="Arial" w:cs="Arial"/>
          <w:color w:val="auto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eastAsiaTheme="minorHAnsi" w:hAnsi="Arial" w:cs="Arial"/>
          <w:color w:val="auto"/>
          <w:sz w:val="20"/>
          <w:szCs w:val="20"/>
        </w:rPr>
        <w:t>бакалавриата</w:t>
      </w:r>
      <w:proofErr w:type="spellEnd"/>
      <w:r>
        <w:rPr>
          <w:rFonts w:ascii="Arial" w:eastAsiaTheme="minorHAnsi" w:hAnsi="Arial" w:cs="Arial"/>
          <w:color w:val="auto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4.6.1. Качество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4.6.2. В целях совершенствования программы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Организация при проведении регулярной внутренней оценки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обучающимся</w:t>
      </w:r>
      <w:proofErr w:type="gramEnd"/>
      <w:r>
        <w:rPr>
          <w:rFonts w:ascii="Arial" w:hAnsi="Arial" w:cs="Arial"/>
          <w:sz w:val="20"/>
          <w:szCs w:val="20"/>
        </w:rP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4.6.3. Внешняя оценка качества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в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требованиям ФГОС </w:t>
      </w:r>
      <w:proofErr w:type="gramStart"/>
      <w:r>
        <w:rPr>
          <w:rFonts w:ascii="Arial" w:hAnsi="Arial" w:cs="Arial"/>
          <w:sz w:val="20"/>
          <w:szCs w:val="20"/>
        </w:rPr>
        <w:t>ВО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55532" w:rsidRDefault="00A55532" w:rsidP="00A5553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4.6.4. Внешняя оценка качества образовательной деятельности и </w:t>
      </w:r>
      <w:proofErr w:type="gramStart"/>
      <w:r>
        <w:rPr>
          <w:rFonts w:ascii="Arial" w:hAnsi="Arial" w:cs="Arial"/>
          <w:sz w:val="20"/>
          <w:szCs w:val="20"/>
        </w:rPr>
        <w:t>подготовки</w:t>
      </w:r>
      <w:proofErr w:type="gramEnd"/>
      <w:r>
        <w:rPr>
          <w:rFonts w:ascii="Arial" w:hAnsi="Arial" w:cs="Arial"/>
          <w:sz w:val="20"/>
          <w:szCs w:val="20"/>
        </w:rPr>
        <w:t xml:space="preserve"> обучающихся по программе </w:t>
      </w:r>
      <w:proofErr w:type="spellStart"/>
      <w:r>
        <w:rPr>
          <w:rFonts w:ascii="Arial" w:hAnsi="Arial" w:cs="Arial"/>
          <w:sz w:val="20"/>
          <w:szCs w:val="20"/>
        </w:rPr>
        <w:t>бакалавриата</w:t>
      </w:r>
      <w:proofErr w:type="spellEnd"/>
      <w:r>
        <w:rPr>
          <w:rFonts w:ascii="Arial" w:hAnsi="Arial" w:cs="Arial"/>
          <w:sz w:val="20"/>
          <w:szCs w:val="20"/>
        </w:rPr>
        <w:t xml:space="preserve">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A55532" w:rsidRDefault="00A55532" w:rsidP="00A555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A5940" w:rsidRPr="00A55532" w:rsidRDefault="00A55532" w:rsidP="00A55532"/>
    <w:sectPr w:rsidR="002A5940" w:rsidRPr="00A55532" w:rsidSect="00C03A2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B8"/>
    <w:rsid w:val="000841B8"/>
    <w:rsid w:val="00671E61"/>
    <w:rsid w:val="00866DC1"/>
    <w:rsid w:val="00A5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6FDD71B39276CA38D316EF31306B118AFB9BFCB5D1282DFD41C84085DBAE4CDE08F1386A0BE525BA19BC27B222D61636734D13F33446D6E1k4L" TargetMode="External"/><Relationship Id="rId13" Type="http://schemas.openxmlformats.org/officeDocument/2006/relationships/hyperlink" Target="consultantplus://offline/ref=E96FDD71B39276CA38D316EF31306B118BFB97FBB3DC282DFD41C84085DBAE4CDE08F1386A08E12DBD19BC27B222D61636734D13F33446D6E1k4L" TargetMode="External"/><Relationship Id="rId18" Type="http://schemas.openxmlformats.org/officeDocument/2006/relationships/hyperlink" Target="consultantplus://offline/ref=E96FDD71B39276CA38D316EF31306B118BFB9BFABDD6282DFD41C84085DBAE4CCC08A9346A02FB24B70CEA76F4E7k6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E96FDD71B39276CA38D316EF31306B118BF190FDB4D3282DFD41C84085DBAE4CDE08F1386A0BE523BD19BC27B222D61636734D13F33446D6E1k4L" TargetMode="External"/><Relationship Id="rId12" Type="http://schemas.openxmlformats.org/officeDocument/2006/relationships/hyperlink" Target="consultantplus://offline/ref=E96FDD71B39276CA38D316EF31306B118AF296FCB6D5282DFD41C84085DBAE4CDE08F1386A0BE522B919BC27B222D61636734D13F33446D6E1k4L" TargetMode="External"/><Relationship Id="rId17" Type="http://schemas.openxmlformats.org/officeDocument/2006/relationships/hyperlink" Target="consultantplus://offline/ref=E96FDD71B39276CA38D316EF31306B118BFB9BFDB2DD282DFD41C84085DBAE4CCC08A9346A02FB24B70CEA76F4E7k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6FDD71B39276CA38D316EF31306B1189F794F2B3D5282DFD41C84085DBAE4CCC08A9346A02FB24B70CEA76F4E7k6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6FDD71B39276CA38D316EF31306B118BFB90FEBDD6282DFD41C84085DBAE4CDE08F1386A0BE521B619BC27B222D61636734D13F33446D6E1k4L" TargetMode="External"/><Relationship Id="rId11" Type="http://schemas.openxmlformats.org/officeDocument/2006/relationships/hyperlink" Target="consultantplus://offline/ref=E96FDD71B39276CA38D316EF31306B118AF296FCB6D5282DFD41C84085DBAE4CDE08F1386A0BE520B819BC27B222D61636734D13F33446D6E1k4L" TargetMode="External"/><Relationship Id="rId5" Type="http://schemas.openxmlformats.org/officeDocument/2006/relationships/hyperlink" Target="consultantplus://offline/ref=E96FDD71B39276CA38D316EF31306B118BFB97FBB3DC282DFD41C84085DBAE4CDE08F1386A08E12DBE19BC27B222D61636734D13F33446D6E1k4L" TargetMode="External"/><Relationship Id="rId15" Type="http://schemas.openxmlformats.org/officeDocument/2006/relationships/hyperlink" Target="consultantplus://offline/ref=E96FDD71B39276CA38D316EF31306B118AF296FCB6D5282DFD41C84085DBAE4CDE08F1386A0BE524B919BC27B222D61636734D13F33446D6E1k4L" TargetMode="External"/><Relationship Id="rId10" Type="http://schemas.openxmlformats.org/officeDocument/2006/relationships/hyperlink" Target="consultantplus://offline/ref=E96FDD71B39276CA38D316EF31306B118BFB9BFAB3D1282DFD41C84085DBAE4CDE08F1386A0BE720B619BC27B222D61636734D13F33446D6E1k4L" TargetMode="External"/><Relationship Id="rId19" Type="http://schemas.openxmlformats.org/officeDocument/2006/relationships/hyperlink" Target="consultantplus://offline/ref=E96FDD71B39276CA38D316EF31306B118BFB97FEB3D1282DFD41C84085DBAE4CDE08F1386A0BEC20B819BC27B222D61636734D13F33446D6E1k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6FDD71B39276CA38D316EF31306B118BFB97FBB3DC282DFD41C84085DBAE4CDE08F1386A08E12DBE19BC27B222D61636734D13F33446D6E1k4L" TargetMode="External"/><Relationship Id="rId14" Type="http://schemas.openxmlformats.org/officeDocument/2006/relationships/hyperlink" Target="consultantplus://offline/ref=E96FDD71B39276CA38D316EF31306B118BFB97FBB3DC282DFD41C84085DBAE4CDE08F1386A08E024BA19BC27B222D61636734D13F33446D6E1k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5108</Words>
  <Characters>29118</Characters>
  <Application>Microsoft Office Word</Application>
  <DocSecurity>0</DocSecurity>
  <Lines>242</Lines>
  <Paragraphs>68</Paragraphs>
  <ScaleCrop>false</ScaleCrop>
  <Company/>
  <LinksUpToDate>false</LinksUpToDate>
  <CharactersWithSpaces>34158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 Рохлова</dc:creator>
  <cp:keywords/>
  <dc:description/>
  <cp:lastModifiedBy>Елена Леонидовна Рохлова</cp:lastModifiedBy>
  <cp:revision>2</cp:revision>
  <dcterms:created xsi:type="dcterms:W3CDTF">2021-08-09T11:35:00Z</dcterms:created>
  <dcterms:modified xsi:type="dcterms:W3CDTF">2021-08-09T11:36:00Z</dcterms:modified>
</cp:coreProperties>
</file>