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6B4" w:rsidRDefault="000976B4" w:rsidP="000976B4">
      <w:pPr>
        <w:keepNext w:val="0"/>
        <w:keepLines w:val="0"/>
        <w:autoSpaceDE w:val="0"/>
        <w:autoSpaceDN w:val="0"/>
        <w:adjustRightInd w:val="0"/>
        <w:spacing w:before="0" w:line="240" w:lineRule="auto"/>
        <w:rPr>
          <w:rFonts w:ascii="Tahoma" w:eastAsiaTheme="minorHAnsi" w:hAnsi="Tahoma" w:cs="Tahoma"/>
          <w:color w:val="auto"/>
          <w:sz w:val="20"/>
          <w:szCs w:val="20"/>
        </w:rPr>
      </w:pPr>
      <w:r>
        <w:rPr>
          <w:rFonts w:ascii="Tahoma" w:eastAsiaTheme="minorHAnsi" w:hAnsi="Tahoma" w:cs="Tahoma"/>
          <w:color w:val="auto"/>
          <w:sz w:val="20"/>
          <w:szCs w:val="20"/>
        </w:rPr>
        <w:t xml:space="preserve">Документ предоставлен </w:t>
      </w:r>
      <w:hyperlink r:id="rId5" w:history="1">
        <w:r>
          <w:rPr>
            <w:rFonts w:ascii="Tahoma" w:eastAsiaTheme="minorHAnsi" w:hAnsi="Tahoma" w:cs="Tahoma"/>
            <w:color w:val="0000FF"/>
            <w:sz w:val="20"/>
            <w:szCs w:val="20"/>
          </w:rPr>
          <w:t>КонсультантПлюс</w:t>
        </w:r>
      </w:hyperlink>
      <w:r>
        <w:rPr>
          <w:rFonts w:ascii="Tahoma" w:eastAsiaTheme="minorHAnsi" w:hAnsi="Tahoma" w:cs="Tahoma"/>
          <w:color w:val="auto"/>
          <w:sz w:val="20"/>
          <w:szCs w:val="20"/>
        </w:rPr>
        <w:br/>
      </w:r>
    </w:p>
    <w:p w:rsidR="000976B4" w:rsidRDefault="000976B4" w:rsidP="000976B4">
      <w:pPr>
        <w:autoSpaceDE w:val="0"/>
        <w:autoSpaceDN w:val="0"/>
        <w:adjustRightInd w:val="0"/>
        <w:spacing w:after="0" w:line="240" w:lineRule="auto"/>
        <w:jc w:val="both"/>
        <w:outlineLvl w:val="0"/>
        <w:rPr>
          <w:rFonts w:ascii="Arial" w:hAnsi="Arial" w:cs="Arial"/>
          <w:sz w:val="20"/>
          <w:szCs w:val="20"/>
        </w:rPr>
      </w:pPr>
    </w:p>
    <w:p w:rsidR="000976B4" w:rsidRDefault="000976B4" w:rsidP="000976B4">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Зарегистрировано в Минюсте России 25 августа 2016 г. N 43414</w:t>
      </w:r>
    </w:p>
    <w:p w:rsidR="000976B4" w:rsidRDefault="000976B4" w:rsidP="000976B4">
      <w:pPr>
        <w:pBdr>
          <w:top w:val="single" w:sz="6" w:space="0" w:color="auto"/>
        </w:pBdr>
        <w:autoSpaceDE w:val="0"/>
        <w:autoSpaceDN w:val="0"/>
        <w:adjustRightInd w:val="0"/>
        <w:spacing w:before="100" w:after="100" w:line="240" w:lineRule="auto"/>
        <w:jc w:val="both"/>
        <w:rPr>
          <w:rFonts w:ascii="Arial" w:hAnsi="Arial" w:cs="Arial"/>
          <w:sz w:val="2"/>
          <w:szCs w:val="2"/>
        </w:rPr>
      </w:pPr>
    </w:p>
    <w:p w:rsidR="000976B4" w:rsidRDefault="000976B4" w:rsidP="000976B4">
      <w:pPr>
        <w:autoSpaceDE w:val="0"/>
        <w:autoSpaceDN w:val="0"/>
        <w:adjustRightInd w:val="0"/>
        <w:spacing w:after="0" w:line="240" w:lineRule="auto"/>
        <w:jc w:val="both"/>
        <w:rPr>
          <w:rFonts w:ascii="Arial" w:hAnsi="Arial" w:cs="Arial"/>
          <w:sz w:val="20"/>
          <w:szCs w:val="20"/>
        </w:rPr>
      </w:pPr>
    </w:p>
    <w:p w:rsidR="000976B4" w:rsidRDefault="000976B4" w:rsidP="000976B4">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МИНИСТЕРСТВО ОБРАЗОВАНИЯ И НАУКИ РОССИЙСКОЙ ФЕДЕРАЦИИ</w:t>
      </w:r>
    </w:p>
    <w:p w:rsidR="000976B4" w:rsidRDefault="000976B4" w:rsidP="000976B4">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0976B4" w:rsidRDefault="000976B4" w:rsidP="000976B4">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ПРИКАЗ</w:t>
      </w:r>
    </w:p>
    <w:p w:rsidR="000976B4" w:rsidRDefault="000976B4" w:rsidP="000976B4">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от 11 августа 2016 г. N 997</w:t>
      </w:r>
    </w:p>
    <w:p w:rsidR="000976B4" w:rsidRDefault="000976B4" w:rsidP="000976B4">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0976B4" w:rsidRDefault="000976B4" w:rsidP="000976B4">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ОБ УТВЕРЖДЕНИИ</w:t>
      </w:r>
    </w:p>
    <w:p w:rsidR="000976B4" w:rsidRDefault="000976B4" w:rsidP="000976B4">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ФЕДЕРАЛЬНОГО ГОСУДАРСТВЕННОГО ОБРАЗОВАТЕЛЬНОГО СТАНДАРТА</w:t>
      </w:r>
    </w:p>
    <w:p w:rsidR="000976B4" w:rsidRDefault="000976B4" w:rsidP="000976B4">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ВЫСШЕГО ОБРАЗОВАНИЯ ПО НАПРАВЛЕНИЮ ПОДГОТОВКИ</w:t>
      </w:r>
    </w:p>
    <w:p w:rsidR="000976B4" w:rsidRDefault="000976B4" w:rsidP="000976B4">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42.03.01 РЕКЛАМА И СВЯЗИ С ОБЩЕСТВЕННОСТЬЮ</w:t>
      </w:r>
    </w:p>
    <w:p w:rsidR="000976B4" w:rsidRDefault="000976B4" w:rsidP="000976B4">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(УРОВЕНЬ БАКАЛАВРИАТА)</w:t>
      </w:r>
    </w:p>
    <w:p w:rsidR="000976B4" w:rsidRDefault="000976B4" w:rsidP="000976B4">
      <w:pPr>
        <w:autoSpaceDE w:val="0"/>
        <w:autoSpaceDN w:val="0"/>
        <w:adjustRightInd w:val="0"/>
        <w:spacing w:after="0" w:line="240" w:lineRule="auto"/>
        <w:jc w:val="both"/>
        <w:rPr>
          <w:rFonts w:ascii="Arial" w:hAnsi="Arial" w:cs="Arial"/>
          <w:sz w:val="20"/>
          <w:szCs w:val="20"/>
        </w:rPr>
      </w:pPr>
    </w:p>
    <w:p w:rsidR="000976B4" w:rsidRDefault="000976B4" w:rsidP="000976B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N 43, ст. 5976; 2016; N 2, ст. 325; N 8, ст. 1121; N 28, ст. 4741), и </w:t>
      </w:r>
      <w:hyperlink r:id="rId6" w:history="1">
        <w:r>
          <w:rPr>
            <w:rFonts w:ascii="Arial" w:hAnsi="Arial" w:cs="Arial"/>
            <w:color w:val="0000FF"/>
            <w:sz w:val="20"/>
            <w:szCs w:val="20"/>
          </w:rPr>
          <w:t>пунктом 17</w:t>
        </w:r>
      </w:hyperlink>
      <w:r>
        <w:rPr>
          <w:rFonts w:ascii="Arial" w:hAnsi="Arial" w:cs="Arial"/>
          <w:sz w:val="20"/>
          <w:szCs w:val="20"/>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2016, N 16, ст. 2230), приказываю:</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Утвердить прилагаемый федеральный государственный образовательный </w:t>
      </w:r>
      <w:hyperlink w:anchor="Par35" w:history="1">
        <w:r>
          <w:rPr>
            <w:rFonts w:ascii="Arial" w:hAnsi="Arial" w:cs="Arial"/>
            <w:color w:val="0000FF"/>
            <w:sz w:val="20"/>
            <w:szCs w:val="20"/>
          </w:rPr>
          <w:t>стандарт</w:t>
        </w:r>
      </w:hyperlink>
      <w:r>
        <w:rPr>
          <w:rFonts w:ascii="Arial" w:hAnsi="Arial" w:cs="Arial"/>
          <w:sz w:val="20"/>
          <w:szCs w:val="20"/>
        </w:rPr>
        <w:t xml:space="preserve"> высшего образования по направлению подготовки 42.03.01 Реклама и связи с общественностью (уровень бакалавриата).</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Признать утратившими силу:</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hyperlink r:id="rId7" w:history="1">
        <w:r>
          <w:rPr>
            <w:rFonts w:ascii="Arial" w:hAnsi="Arial" w:cs="Arial"/>
            <w:color w:val="0000FF"/>
            <w:sz w:val="20"/>
            <w:szCs w:val="20"/>
          </w:rPr>
          <w:t>приказ</w:t>
        </w:r>
      </w:hyperlink>
      <w:r>
        <w:rPr>
          <w:rFonts w:ascii="Arial" w:hAnsi="Arial" w:cs="Arial"/>
          <w:sz w:val="20"/>
          <w:szCs w:val="20"/>
        </w:rPr>
        <w:t xml:space="preserve"> Министерства образования и науки Российской Федерации от 29 марта 2010 г. N 221 "Об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031600 Реклама и связи с общественностью (квалификация (степень) "бакалавр")" (зарегистрирован Министерством юстиции Российской Федерации 11 мая 2010 г., регистрационный N 17166);</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hyperlink r:id="rId8" w:history="1">
        <w:r>
          <w:rPr>
            <w:rFonts w:ascii="Arial" w:hAnsi="Arial" w:cs="Arial"/>
            <w:color w:val="0000FF"/>
            <w:sz w:val="20"/>
            <w:szCs w:val="20"/>
          </w:rPr>
          <w:t>пункт 25</w:t>
        </w:r>
      </w:hyperlink>
      <w:r>
        <w:rPr>
          <w:rFonts w:ascii="Arial" w:hAnsi="Arial" w:cs="Arial"/>
          <w:sz w:val="20"/>
          <w:szCs w:val="20"/>
        </w:rPr>
        <w:t xml:space="preserve"> изменений, которые вносятся в федеральные государственные образовательные стандарты высшего профессионального образования по направлениям подготовки, подтверждаемого присвоением лицам квалификации (степени) "бакалавр", утвержденных приказом Министерства образования и науки Российской Федерации от 31 мая 2011 г. N 1975 (зарегистрирован Министерством юстиции Российской Федерации 28 июня 2011 г., регистрационный N 21200).</w:t>
      </w:r>
    </w:p>
    <w:p w:rsidR="000976B4" w:rsidRDefault="000976B4" w:rsidP="000976B4">
      <w:pPr>
        <w:autoSpaceDE w:val="0"/>
        <w:autoSpaceDN w:val="0"/>
        <w:adjustRightInd w:val="0"/>
        <w:spacing w:after="0" w:line="240" w:lineRule="auto"/>
        <w:jc w:val="both"/>
        <w:rPr>
          <w:rFonts w:ascii="Arial" w:hAnsi="Arial" w:cs="Arial"/>
          <w:sz w:val="20"/>
          <w:szCs w:val="20"/>
        </w:rPr>
      </w:pPr>
    </w:p>
    <w:p w:rsidR="000976B4" w:rsidRDefault="000976B4" w:rsidP="000976B4">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Исполняющая обязанности Министра</w:t>
      </w:r>
    </w:p>
    <w:p w:rsidR="000976B4" w:rsidRDefault="000976B4" w:rsidP="000976B4">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Н.В.ТРЕТЬЯК</w:t>
      </w:r>
    </w:p>
    <w:p w:rsidR="000976B4" w:rsidRDefault="000976B4" w:rsidP="000976B4">
      <w:pPr>
        <w:autoSpaceDE w:val="0"/>
        <w:autoSpaceDN w:val="0"/>
        <w:adjustRightInd w:val="0"/>
        <w:spacing w:after="0" w:line="240" w:lineRule="auto"/>
        <w:jc w:val="both"/>
        <w:rPr>
          <w:rFonts w:ascii="Arial" w:hAnsi="Arial" w:cs="Arial"/>
          <w:sz w:val="20"/>
          <w:szCs w:val="20"/>
        </w:rPr>
      </w:pPr>
    </w:p>
    <w:p w:rsidR="000976B4" w:rsidRDefault="000976B4" w:rsidP="000976B4">
      <w:pPr>
        <w:autoSpaceDE w:val="0"/>
        <w:autoSpaceDN w:val="0"/>
        <w:adjustRightInd w:val="0"/>
        <w:spacing w:after="0" w:line="240" w:lineRule="auto"/>
        <w:jc w:val="both"/>
        <w:rPr>
          <w:rFonts w:ascii="Arial" w:hAnsi="Arial" w:cs="Arial"/>
          <w:sz w:val="20"/>
          <w:szCs w:val="20"/>
        </w:rPr>
      </w:pPr>
    </w:p>
    <w:p w:rsidR="000976B4" w:rsidRDefault="000976B4" w:rsidP="000976B4">
      <w:pPr>
        <w:autoSpaceDE w:val="0"/>
        <w:autoSpaceDN w:val="0"/>
        <w:adjustRightInd w:val="0"/>
        <w:spacing w:after="0" w:line="240" w:lineRule="auto"/>
        <w:jc w:val="both"/>
        <w:rPr>
          <w:rFonts w:ascii="Arial" w:hAnsi="Arial" w:cs="Arial"/>
          <w:sz w:val="20"/>
          <w:szCs w:val="20"/>
        </w:rPr>
      </w:pPr>
    </w:p>
    <w:p w:rsidR="000976B4" w:rsidRDefault="000976B4" w:rsidP="000976B4">
      <w:pPr>
        <w:autoSpaceDE w:val="0"/>
        <w:autoSpaceDN w:val="0"/>
        <w:adjustRightInd w:val="0"/>
        <w:spacing w:after="0" w:line="240" w:lineRule="auto"/>
        <w:jc w:val="both"/>
        <w:rPr>
          <w:rFonts w:ascii="Arial" w:hAnsi="Arial" w:cs="Arial"/>
          <w:sz w:val="20"/>
          <w:szCs w:val="20"/>
        </w:rPr>
      </w:pPr>
    </w:p>
    <w:p w:rsidR="000976B4" w:rsidRDefault="000976B4" w:rsidP="000976B4">
      <w:pPr>
        <w:autoSpaceDE w:val="0"/>
        <w:autoSpaceDN w:val="0"/>
        <w:adjustRightInd w:val="0"/>
        <w:spacing w:after="0" w:line="240" w:lineRule="auto"/>
        <w:jc w:val="both"/>
        <w:rPr>
          <w:rFonts w:ascii="Arial" w:hAnsi="Arial" w:cs="Arial"/>
          <w:sz w:val="20"/>
          <w:szCs w:val="20"/>
        </w:rPr>
      </w:pPr>
    </w:p>
    <w:p w:rsidR="000976B4" w:rsidRDefault="000976B4" w:rsidP="000976B4">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Приложение</w:t>
      </w:r>
    </w:p>
    <w:p w:rsidR="000976B4" w:rsidRDefault="000976B4" w:rsidP="000976B4">
      <w:pPr>
        <w:autoSpaceDE w:val="0"/>
        <w:autoSpaceDN w:val="0"/>
        <w:adjustRightInd w:val="0"/>
        <w:spacing w:after="0" w:line="240" w:lineRule="auto"/>
        <w:jc w:val="both"/>
        <w:rPr>
          <w:rFonts w:ascii="Arial" w:hAnsi="Arial" w:cs="Arial"/>
          <w:sz w:val="20"/>
          <w:szCs w:val="20"/>
        </w:rPr>
      </w:pPr>
    </w:p>
    <w:p w:rsidR="000976B4" w:rsidRDefault="000976B4" w:rsidP="000976B4">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Утвержден</w:t>
      </w:r>
    </w:p>
    <w:p w:rsidR="000976B4" w:rsidRDefault="000976B4" w:rsidP="000976B4">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приказом Министерства образования</w:t>
      </w:r>
    </w:p>
    <w:p w:rsidR="000976B4" w:rsidRDefault="000976B4" w:rsidP="000976B4">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и науки Российской Федерации</w:t>
      </w:r>
    </w:p>
    <w:p w:rsidR="000976B4" w:rsidRDefault="000976B4" w:rsidP="000976B4">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11 августа 2016 г. N 997</w:t>
      </w:r>
    </w:p>
    <w:p w:rsidR="000976B4" w:rsidRDefault="000976B4" w:rsidP="000976B4">
      <w:pPr>
        <w:autoSpaceDE w:val="0"/>
        <w:autoSpaceDN w:val="0"/>
        <w:adjustRightInd w:val="0"/>
        <w:spacing w:after="0" w:line="240" w:lineRule="auto"/>
        <w:jc w:val="both"/>
        <w:rPr>
          <w:rFonts w:ascii="Arial" w:hAnsi="Arial" w:cs="Arial"/>
          <w:sz w:val="20"/>
          <w:szCs w:val="20"/>
        </w:rPr>
      </w:pPr>
    </w:p>
    <w:p w:rsidR="000976B4" w:rsidRDefault="000976B4" w:rsidP="000976B4">
      <w:pPr>
        <w:keepNext w:val="0"/>
        <w:keepLines w:val="0"/>
        <w:autoSpaceDE w:val="0"/>
        <w:autoSpaceDN w:val="0"/>
        <w:adjustRightInd w:val="0"/>
        <w:spacing w:before="0" w:line="240" w:lineRule="auto"/>
        <w:jc w:val="center"/>
        <w:rPr>
          <w:rFonts w:ascii="Arial" w:eastAsiaTheme="minorHAnsi" w:hAnsi="Arial" w:cs="Arial"/>
          <w:color w:val="auto"/>
          <w:sz w:val="20"/>
          <w:szCs w:val="20"/>
        </w:rPr>
      </w:pPr>
      <w:bookmarkStart w:id="0" w:name="Par35"/>
      <w:bookmarkEnd w:id="0"/>
      <w:r>
        <w:rPr>
          <w:rFonts w:ascii="Arial" w:eastAsiaTheme="minorHAnsi" w:hAnsi="Arial" w:cs="Arial"/>
          <w:color w:val="auto"/>
          <w:sz w:val="20"/>
          <w:szCs w:val="20"/>
        </w:rPr>
        <w:t>ФЕДЕРАЛЬНЫЙ ГОСУДАРСТВЕННЫЙ ОБРАЗОВАТЕЛЬНЫЙ СТАНДАРТ</w:t>
      </w:r>
    </w:p>
    <w:p w:rsidR="000976B4" w:rsidRDefault="000976B4" w:rsidP="000976B4">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ВЫСШЕГО ОБРАЗОВАНИЯ</w:t>
      </w:r>
    </w:p>
    <w:p w:rsidR="000976B4" w:rsidRDefault="000976B4" w:rsidP="000976B4">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0976B4" w:rsidRDefault="000976B4" w:rsidP="000976B4">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lastRenderedPageBreak/>
        <w:t>ПО НАПРАВЛЕНИЮ ПОДГОТОВКИ</w:t>
      </w:r>
    </w:p>
    <w:p w:rsidR="000976B4" w:rsidRDefault="000976B4" w:rsidP="000976B4">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42.03.01 РЕКЛАМА И СВЯЗИ С ОБЩЕСТВЕННОСТЬЮ</w:t>
      </w:r>
    </w:p>
    <w:p w:rsidR="000976B4" w:rsidRDefault="000976B4" w:rsidP="000976B4">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(УРОВЕНЬ БАКАЛАВРИАТА)</w:t>
      </w:r>
    </w:p>
    <w:p w:rsidR="000976B4" w:rsidRDefault="000976B4" w:rsidP="000976B4">
      <w:pPr>
        <w:autoSpaceDE w:val="0"/>
        <w:autoSpaceDN w:val="0"/>
        <w:adjustRightInd w:val="0"/>
        <w:spacing w:after="0" w:line="240" w:lineRule="auto"/>
        <w:jc w:val="both"/>
        <w:rPr>
          <w:rFonts w:ascii="Arial" w:hAnsi="Arial" w:cs="Arial"/>
          <w:sz w:val="20"/>
          <w:szCs w:val="20"/>
        </w:rPr>
      </w:pPr>
    </w:p>
    <w:p w:rsidR="000976B4" w:rsidRDefault="000976B4" w:rsidP="000976B4">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 ОБЛАСТЬ ПРИМЕНЕНИЯ</w:t>
      </w:r>
    </w:p>
    <w:p w:rsidR="000976B4" w:rsidRDefault="000976B4" w:rsidP="000976B4">
      <w:pPr>
        <w:autoSpaceDE w:val="0"/>
        <w:autoSpaceDN w:val="0"/>
        <w:adjustRightInd w:val="0"/>
        <w:spacing w:after="0" w:line="240" w:lineRule="auto"/>
        <w:jc w:val="both"/>
        <w:rPr>
          <w:rFonts w:ascii="Arial" w:hAnsi="Arial" w:cs="Arial"/>
          <w:sz w:val="20"/>
          <w:szCs w:val="20"/>
        </w:rPr>
      </w:pPr>
    </w:p>
    <w:p w:rsidR="000976B4" w:rsidRDefault="000976B4" w:rsidP="000976B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Настоящий федеральный государственный образовательный стандарт высшего образования представляет собой совокупность требований, обязательных при реализации основных профессиональных образовательных программ высшего образования - программ бакалавриата по направлению подготовки 42.03.01 Реклама и связи с общественностью (далее соответственно - программа бакалавриата, направление подготовки).</w:t>
      </w:r>
    </w:p>
    <w:p w:rsidR="000976B4" w:rsidRDefault="000976B4" w:rsidP="000976B4">
      <w:pPr>
        <w:autoSpaceDE w:val="0"/>
        <w:autoSpaceDN w:val="0"/>
        <w:adjustRightInd w:val="0"/>
        <w:spacing w:after="0" w:line="240" w:lineRule="auto"/>
        <w:jc w:val="both"/>
        <w:rPr>
          <w:rFonts w:ascii="Arial" w:hAnsi="Arial" w:cs="Arial"/>
          <w:sz w:val="20"/>
          <w:szCs w:val="20"/>
        </w:rPr>
      </w:pPr>
    </w:p>
    <w:p w:rsidR="000976B4" w:rsidRDefault="000976B4" w:rsidP="000976B4">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II. ИСПОЛЬЗУЕМЫЕ СОКРАЩЕНИЯ</w:t>
      </w:r>
    </w:p>
    <w:p w:rsidR="000976B4" w:rsidRDefault="000976B4" w:rsidP="000976B4">
      <w:pPr>
        <w:autoSpaceDE w:val="0"/>
        <w:autoSpaceDN w:val="0"/>
        <w:adjustRightInd w:val="0"/>
        <w:spacing w:after="0" w:line="240" w:lineRule="auto"/>
        <w:jc w:val="both"/>
        <w:rPr>
          <w:rFonts w:ascii="Arial" w:hAnsi="Arial" w:cs="Arial"/>
          <w:sz w:val="20"/>
          <w:szCs w:val="20"/>
        </w:rPr>
      </w:pPr>
    </w:p>
    <w:p w:rsidR="000976B4" w:rsidRDefault="000976B4" w:rsidP="000976B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В настоящем федеральном государственном образовательном стандарте используются следующие сокращения:</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ОК - общекультурные компетенции;</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ОПК - общепрофессиональные компетенции;</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ПК - профессиональные компетенции;</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ФГОС ВО - федеральный государственный образовательный стандарт высшего образования;</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сетевая форма - сетевая форма реализации образовательных программ.</w:t>
      </w:r>
    </w:p>
    <w:p w:rsidR="000976B4" w:rsidRDefault="000976B4" w:rsidP="000976B4">
      <w:pPr>
        <w:autoSpaceDE w:val="0"/>
        <w:autoSpaceDN w:val="0"/>
        <w:adjustRightInd w:val="0"/>
        <w:spacing w:after="0" w:line="240" w:lineRule="auto"/>
        <w:jc w:val="both"/>
        <w:rPr>
          <w:rFonts w:ascii="Arial" w:hAnsi="Arial" w:cs="Arial"/>
          <w:sz w:val="20"/>
          <w:szCs w:val="20"/>
        </w:rPr>
      </w:pPr>
    </w:p>
    <w:p w:rsidR="000976B4" w:rsidRDefault="000976B4" w:rsidP="000976B4">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III. ХАРАКТЕРИСТИКА НАПРАВЛЕНИЯ ПОДГОТОВКИ</w:t>
      </w:r>
    </w:p>
    <w:p w:rsidR="000976B4" w:rsidRDefault="000976B4" w:rsidP="000976B4">
      <w:pPr>
        <w:autoSpaceDE w:val="0"/>
        <w:autoSpaceDN w:val="0"/>
        <w:adjustRightInd w:val="0"/>
        <w:spacing w:after="0" w:line="240" w:lineRule="auto"/>
        <w:jc w:val="both"/>
        <w:rPr>
          <w:rFonts w:ascii="Arial" w:hAnsi="Arial" w:cs="Arial"/>
          <w:sz w:val="20"/>
          <w:szCs w:val="20"/>
        </w:rPr>
      </w:pPr>
    </w:p>
    <w:p w:rsidR="000976B4" w:rsidRDefault="000976B4" w:rsidP="000976B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3.1. Получение образования по программе бакалавриата допускается только в образовательной организации высшего образования (далее - организация).</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3.2. Обучение по программе бакалавриата в организации осуществляется в очной, очно-заочной и заочной формах обучения.</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Объем программы бакалавриата составляет 240 зачетных единиц (далее -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 в том числе ускоренного обучения.</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3.3. Срок получения образования по программе бакалавриата:</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очной форме обучения, включая каникулы, предоставляемые после прохождения государственной итоговой аттестации, вне зависимости от применяемых образовательных технологий составляет 4 года. Объем программы бакалавриата в очной форме обучения, реализуемый за один учебный год, составляет 60 з.е.;</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очно-заочной или заочной формах обучения вне зависимости от применяемых образовательных технологий увеличивается не менее чем на 6 месяцев и не более чем на 1 год по сравнению со сроком получения образования по очной форме обучения. Объем программы бакалавриата за один учебный год в очно-заочной или заочной формах обучения не может составлять более 75 з.е.;</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обучении по индивидуальному учебному плану вне зависимости от формы обучения составляет не более срока получения образования, установленного для соответствующей формы обучения,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 Объем программы бакалавриата за один учебный год при обучении по индивидуальному плану вне зависимости от формы обучения не может составлять более 75 з.е.</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Конкретный срок получения образования и объем программы бакалавриата, реализуемый за один учебный год, в очно-заочной или заочной формах обучения, а также по индивидуальному плану определяются организацией самостоятельно в пределах сроков, установленных настоящим пунктом.</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3.4. При реализации программы бакалавриата организация вправе применять электронное обучение и дистанционные образовательные технологии.</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3.5. Реализация программы бакалавриата возможна с использованием сетевой формы.</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3.6. Образовательная деятельность по программе бакалавриата осуществляется на государственном языке Российской Федерации, если иное не определено локальным нормативным актом организации.</w:t>
      </w:r>
    </w:p>
    <w:p w:rsidR="000976B4" w:rsidRDefault="000976B4" w:rsidP="000976B4">
      <w:pPr>
        <w:autoSpaceDE w:val="0"/>
        <w:autoSpaceDN w:val="0"/>
        <w:adjustRightInd w:val="0"/>
        <w:spacing w:after="0" w:line="240" w:lineRule="auto"/>
        <w:jc w:val="both"/>
        <w:rPr>
          <w:rFonts w:ascii="Arial" w:hAnsi="Arial" w:cs="Arial"/>
          <w:sz w:val="20"/>
          <w:szCs w:val="20"/>
        </w:rPr>
      </w:pPr>
    </w:p>
    <w:p w:rsidR="000976B4" w:rsidRDefault="000976B4" w:rsidP="000976B4">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IV. ХАРАКТЕРИСТИКА ПРОФЕССИОНАЛЬНОЙ ДЕЯТЕЛЬНОСТИ</w:t>
      </w:r>
    </w:p>
    <w:p w:rsidR="000976B4" w:rsidRDefault="000976B4" w:rsidP="000976B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ВЫПУСКНИКОВ, ОСВОИВШИХ ПРОГРАММУ БАКАЛАВРИАТА</w:t>
      </w:r>
    </w:p>
    <w:p w:rsidR="000976B4" w:rsidRDefault="000976B4" w:rsidP="000976B4">
      <w:pPr>
        <w:autoSpaceDE w:val="0"/>
        <w:autoSpaceDN w:val="0"/>
        <w:adjustRightInd w:val="0"/>
        <w:spacing w:after="0" w:line="240" w:lineRule="auto"/>
        <w:jc w:val="both"/>
        <w:rPr>
          <w:rFonts w:ascii="Arial" w:hAnsi="Arial" w:cs="Arial"/>
          <w:sz w:val="20"/>
          <w:szCs w:val="20"/>
        </w:rPr>
      </w:pPr>
    </w:p>
    <w:p w:rsidR="000976B4" w:rsidRDefault="000976B4" w:rsidP="000976B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4.1. Область профессиональной деятельности выпускников, освоивших программу бакалавриата, включает:</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коммуникационные процессы в межличностной, социальной, политической, экономической, культурной, образовательной и научной сферах;</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техники и технологии массовых, деловых и персональных коммуникаций;</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технологии и техники пропаганды конкурентных свойств товаров, услуг, коммерческих компаний, некоммерческих и общественных организаций, государственных органов и учреждений, их позиционирование в рыночной среде;</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общественное мнение.</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4.2. Объектами профессиональной деятельности выпускников, освоивших программу бакалавриата, являются:</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федеральные органы государственной власти, органы государственной власти субъектов Российской Федерации, органы местного самоуправления;</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негосударственные, общественные и коммерческие организации, средства массовой информации;</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научные организации и организации, осуществляющие образовательную деятельность;</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производственные и сервисные предприятия.</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4.3. Виды профессиональной деятельности, к которым готовятся выпускники, освоившие программу бакалавриата:</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организационно-управленческая;</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проектная;</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коммуникационная;</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рекламно-информационная;</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рыночно-исследовательская и прогнозно-аналитическая;</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информационно-технологическая.</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разработке и реализации программы бакалавриата организация ориентируется на конкретный вид (виды) профессиональной деятельности, к которому (которым) готовится бакалавр, исходя из потребностей рынка труда, научно-исследовательских и материально-технических ресурсов организации.</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ориентированной на научно-исследовательский и (или) педагогический вид (виды) профессиональной деятельности как основной (основные) (далее - программа академического бакалавриата);</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ориентированной на практико-ориентированный, прикладной вид (виды) профессиональной деятельности как основной (основные) (далее - программа прикладного бакалавриата).</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4.4. Выпускник, освоивший программу бакалавриата, в соответствии с видом (видами) профессиональной деятельности, на который (которые) ориентирована программа бакалавриата, должен быть готов решать следующие профессиональные задачи:</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организационно-управленческая деятельность:</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управлении, планировании и организации работы рекламных служб и служб по связям с общественностью фирмы и организации;</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формировании эффективных внутренних коммуникаций, создании благоприятного психологического климата в коллективе;</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проектная деятельность:</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проектировании программ и отдельных мероприятий в области рекламы и связей с общественностью, обеспечение средств и методов реализации проектов, участие в организации работы проектных команд;</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подготовка проектной и сопутствующей документации (технико-экономическое обоснование, техническое задание, бизнес-план, креативный бриф, соглашение, договор, контракт);</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коммуникационная деятельность:</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создании эффективной коммуникационной инфраструктуры организации, обеспечении внутренней и внешней коммуникации, в том числе с государственными органами, общественными организациями, коммерческими структурами, средствами массовой информации;</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формировании и поддержании корпоративной культуры;</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рекламно-информационная деятельность:</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разработка, подготовка к выпуску, производство и распространение рекламной продукции, включая текстовые и графические, рабочие и презентационные материалы в рамках традиционных и современных средств рекламы;</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рыночно-исследовательская и прогнозно-аналитическая деятельность:</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организации и проведении маркетинговых и социологических исследований;</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написание аналитических справок, обзоров и прогнозов;</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информационно-технологическая деятельность:</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разработке, подготовке к выпуску, производстве и распространении рекламной продукции, включая текстовые и графические, рабочие и презентационные материалы;</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подготовке проектной и сопутствующей документации, связанной с проведением рекламных кампаний и отдельных мероприятий (технико-экономическое обоснование, техническое задание, бизнес-план, креативный бриф, соглашение, договор, контракт);</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проектировании и технологическом обеспечении реализуемых проектов.</w:t>
      </w:r>
    </w:p>
    <w:p w:rsidR="000976B4" w:rsidRDefault="000976B4" w:rsidP="000976B4">
      <w:pPr>
        <w:autoSpaceDE w:val="0"/>
        <w:autoSpaceDN w:val="0"/>
        <w:adjustRightInd w:val="0"/>
        <w:spacing w:after="0" w:line="240" w:lineRule="auto"/>
        <w:jc w:val="both"/>
        <w:rPr>
          <w:rFonts w:ascii="Arial" w:hAnsi="Arial" w:cs="Arial"/>
          <w:sz w:val="20"/>
          <w:szCs w:val="20"/>
        </w:rPr>
      </w:pPr>
    </w:p>
    <w:p w:rsidR="000976B4" w:rsidRDefault="000976B4" w:rsidP="000976B4">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V. ТРЕБОВАНИЯ К РЕЗУЛЬТАТАМ ОСВОЕНИЯ ПРОГРАММЫ БАКАЛАВРИАТА</w:t>
      </w:r>
    </w:p>
    <w:p w:rsidR="000976B4" w:rsidRDefault="000976B4" w:rsidP="000976B4">
      <w:pPr>
        <w:autoSpaceDE w:val="0"/>
        <w:autoSpaceDN w:val="0"/>
        <w:adjustRightInd w:val="0"/>
        <w:spacing w:after="0" w:line="240" w:lineRule="auto"/>
        <w:jc w:val="both"/>
        <w:rPr>
          <w:rFonts w:ascii="Arial" w:hAnsi="Arial" w:cs="Arial"/>
          <w:sz w:val="20"/>
          <w:szCs w:val="20"/>
        </w:rPr>
      </w:pPr>
    </w:p>
    <w:p w:rsidR="000976B4" w:rsidRDefault="000976B4" w:rsidP="000976B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5.1. В результате освоения программы бакалавриата у выпускника должны быть сформированы общекультурные, общепрофессиональные и профессиональные компетенции.</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5.2. Выпускник, освоивший программу бакалавриата, должен обладать следующими общекультурными компетенциями:</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основы философских знаний для формирования мировоззренческой позиции (ОК-1);</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анализировать основные этапы и закономерности исторического развития общества для формирования гражданской позиции (ОК-2);</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основы экономических знаний в различных сферах жизнедеятельности (ОК-3);</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основы правовых знаний в различных сферах жизнедеятельности (ОК-4);</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к коммуникации в устной и письменной формах на русском и иностранном языках для решения задач межличностного и межкультурного взаимодействия (ОК-5);</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работать в коллективе, толерантно воспринимая социальные, этнические, конфессиональные и культурные различия (ОК-6);</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к самоорганизации и самообразованию (ОК-7);</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методы и средства физической культуры для обеспечения полноценной социальной и профессиональной деятельности (ОК-8);</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пользоваться основными методами защиты производственного персонала и населения от возможных последствий аварий, катастроф, стихийных бедствий (ОК-9).</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5.3. Выпускник, освоивший программу бакалавриата, должен обладать следующими общепрофессиональными компетенциями:</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осуществлять под контролем профессиональные функции в области рекламы и связей с общественностью в различных структурах (ОПК-1);</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владением знаниями и навыками работы в отделах рекламы и отделах связей с общественностью (ОПК-2);</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обладанием базовыми навыками создания текстов рекламы и связей с общественностью, владением навыками литературного редактирования, копирайтинга (ОПК-3);</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умением планировать и организовывать под контролем коммуникационные кампании и мероприятия (ОПК-4);</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умением проводить под контролем коммуникационные кампании и мероприятия (ПК-5);</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информационно-коммуникационных технологий и с учетом основных требований информационной безопасности (ОПК-6).</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5.4. Выпускник, освоивший программу бакалавриата, должен обладать профессиональными компетенциями, соответствующими виду (видам) профессиональной деятельности, на который (которые) ориентирована программа бакалавриата:</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организационно-управленческая деятельность:</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принимать участие в управлении и организации работы рекламных служб и служб по связям с общественностью, осуществлять оперативное планирование и оперативный контроль рекламной работы, деятельности по связям с общественностью, проводить мероприятия по повышению имиджа фирмы, продвижению товаров и услуг на рынок, оценивать эффективность рекламной деятельности и связей с общественностью (ПК-1);</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владением навыками по организации и оперативному планированию своей деятельности и деятельности фирмы (ПК-2);</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владением навыками организационно-управленческой работы с малыми коллективами (ПК-3);</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проектная деятельность:</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владением навыками подготовки проектной документации (технико-экономическое обоснование, техническое задание, бизнес-план, креативный бриф, соглашение, договор, контракт) (ПК-4);</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реализовывать проекты и владением методами их реализации (ПК-5);</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коммуникационная деятельность:</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участвовать в создании эффективной коммуникационной инфраструктуры организации, обеспечении внутренней и внешней коммуникации (ПК-6);</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принимать участие в планировании, подготовке и проведении коммуникационных кампаний и мероприятий (ПК-7);</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рекламно-информационная деятельность:</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организовывать подготовку к выпуску, производство и распространение рекламной продукции, включая текстовые и графические, рабочие и презентационные материалы в рамках традиционных и современных средств рекламы (ПК-8);</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рыночно-исследовательская и прогнозно-аналитическая деятельность:</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проводить маркетинговые исследования (ПК-9);</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организовывать и проводить социологические исследования (ПК-10);</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владеть навыками написания аналитических справок, обзоров и прогнозов (ПК-11);</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информационно-технологическая деятельность:</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под контролем осуществлять профессиональные функции в области рекламы в общественных, производственных, коммерческих структурах, средствах массовой информации (ПК-12);</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под контролем осуществлять рекламные кампании и мероприятия (ПК-13);</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реализовывать знания в области рекламы как сферы профессиональной деятельности (ПК-14);</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владением навыками работы в отделе рекламы, маркетинговом отделе, рекламном агентстве (ПК-15);</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под контролем осуществлять подготовку к выпуску, производство и распространение рекламной продукции, включая текстовые и графические, рабочие и презентационные материалы (ПК-16).</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5.5. При разработке программы бакалавриата все общекультурные и общепрофессиональные компетенции, а также профессиональные компетенции, отнесенные к тем видам профессиональной деятельности, на которые ориентирована программа бакалавриата, включаются в набор требуемых результатов освоения программы бакалавриата.</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5.6.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(или) вид (виды) деятельности.</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5.7. При разработке программы бакалавриата требования к результатам обучения по отдельным дисциплинам (модулям), практикам организация устанавливает самостоятельно с учетом требований соответствующих примерных основных образовательных программ.</w:t>
      </w:r>
    </w:p>
    <w:p w:rsidR="000976B4" w:rsidRDefault="000976B4" w:rsidP="000976B4">
      <w:pPr>
        <w:autoSpaceDE w:val="0"/>
        <w:autoSpaceDN w:val="0"/>
        <w:adjustRightInd w:val="0"/>
        <w:spacing w:after="0" w:line="240" w:lineRule="auto"/>
        <w:jc w:val="both"/>
        <w:rPr>
          <w:rFonts w:ascii="Arial" w:hAnsi="Arial" w:cs="Arial"/>
          <w:sz w:val="20"/>
          <w:szCs w:val="20"/>
        </w:rPr>
      </w:pPr>
    </w:p>
    <w:p w:rsidR="000976B4" w:rsidRDefault="000976B4" w:rsidP="000976B4">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VI. ТРЕБОВАНИЯ К СТРУКТУРЕ ПРОГРАММЫ БАКАЛАВРИАТА</w:t>
      </w:r>
    </w:p>
    <w:p w:rsidR="000976B4" w:rsidRDefault="000976B4" w:rsidP="000976B4">
      <w:pPr>
        <w:autoSpaceDE w:val="0"/>
        <w:autoSpaceDN w:val="0"/>
        <w:adjustRightInd w:val="0"/>
        <w:spacing w:after="0" w:line="240" w:lineRule="auto"/>
        <w:jc w:val="both"/>
        <w:rPr>
          <w:rFonts w:ascii="Arial" w:hAnsi="Arial" w:cs="Arial"/>
          <w:sz w:val="20"/>
          <w:szCs w:val="20"/>
        </w:rPr>
      </w:pPr>
    </w:p>
    <w:p w:rsidR="000976B4" w:rsidRDefault="000976B4" w:rsidP="000976B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6.1. Структура программы бакалавриата включает обязательную часть (базовую) и часть, формируемую участниками образовательных отношений (вариативную). Это обеспечивает возможность </w:t>
      </w:r>
      <w:r>
        <w:rPr>
          <w:rFonts w:ascii="Arial" w:hAnsi="Arial" w:cs="Arial"/>
          <w:sz w:val="20"/>
          <w:szCs w:val="20"/>
        </w:rPr>
        <w:lastRenderedPageBreak/>
        <w:t>реализации программ бакалавриата, имеющих различную направленность (профиль) образования в рамках одного направления подготовки (далее - направленность (профиль) программы).</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6.2. Программа бакалавриата состоит из следующих блоков:</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hyperlink w:anchor="Par179" w:history="1">
        <w:r>
          <w:rPr>
            <w:rFonts w:ascii="Arial" w:hAnsi="Arial" w:cs="Arial"/>
            <w:color w:val="0000FF"/>
            <w:sz w:val="20"/>
            <w:szCs w:val="20"/>
          </w:rPr>
          <w:t>Блок 1</w:t>
        </w:r>
      </w:hyperlink>
      <w:r>
        <w:rPr>
          <w:rFonts w:ascii="Arial" w:hAnsi="Arial" w:cs="Arial"/>
          <w:sz w:val="20"/>
          <w:szCs w:val="20"/>
        </w:rPr>
        <w:t xml:space="preserve"> "Дисциплины (модули)", который включает дисциплины (модули), относящиеся к базовой части программы и дисциплины (модули), относящиеся к ее вариативной части;</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hyperlink w:anchor="Par190" w:history="1">
        <w:r>
          <w:rPr>
            <w:rFonts w:ascii="Arial" w:hAnsi="Arial" w:cs="Arial"/>
            <w:color w:val="0000FF"/>
            <w:sz w:val="20"/>
            <w:szCs w:val="20"/>
          </w:rPr>
          <w:t>Блок 2</w:t>
        </w:r>
      </w:hyperlink>
      <w:r>
        <w:rPr>
          <w:rFonts w:ascii="Arial" w:hAnsi="Arial" w:cs="Arial"/>
          <w:sz w:val="20"/>
          <w:szCs w:val="20"/>
        </w:rPr>
        <w:t xml:space="preserve"> "Практики", который в полном объеме относится к вариативной части программы;</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hyperlink w:anchor="Par197" w:history="1">
        <w:r>
          <w:rPr>
            <w:rFonts w:ascii="Arial" w:hAnsi="Arial" w:cs="Arial"/>
            <w:color w:val="0000FF"/>
            <w:sz w:val="20"/>
            <w:szCs w:val="20"/>
          </w:rPr>
          <w:t>Блок 3</w:t>
        </w:r>
      </w:hyperlink>
      <w:r>
        <w:rPr>
          <w:rFonts w:ascii="Arial" w:hAnsi="Arial" w:cs="Arial"/>
          <w:sz w:val="20"/>
          <w:szCs w:val="20"/>
        </w:rPr>
        <w:t xml:space="preserve"> "Государственная итоговая аттестация", который в полном объеме относится к базовой части программы и завершается присвоением квалификации, указанной в перечне направлений подготовки высшего образования, утвержденном Министерством образования и науки Российской Федерации &lt;1&gt;.</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&lt;1&gt; </w:t>
      </w:r>
      <w:hyperlink r:id="rId9" w:history="1">
        <w:r>
          <w:rPr>
            <w:rFonts w:ascii="Arial" w:hAnsi="Arial" w:cs="Arial"/>
            <w:color w:val="0000FF"/>
            <w:sz w:val="20"/>
            <w:szCs w:val="20"/>
          </w:rPr>
          <w:t>Перечень</w:t>
        </w:r>
      </w:hyperlink>
      <w:r>
        <w:rPr>
          <w:rFonts w:ascii="Arial" w:hAnsi="Arial" w:cs="Arial"/>
          <w:sz w:val="20"/>
          <w:szCs w:val="20"/>
        </w:rPr>
        <w:t xml:space="preserve"> направлений подготовки высшего образования - бакалавриата, утвержденный приказом Министерства образования и науки Российской Федерации от 12 сентября 2013 г. N 1061 (зарегистрирован Министерством юстиции Российской Федерации 14 октября 2013 г., регистрационный N 30163), с изменениями, внесенными приказами Министерства образования и науки Российской Федерации от 29 января 2014 г. N 63 (зарегистрирован Министерством юстиции Российской Федерации 28 февраля 2014 г., регистрационный N 31448), от 20 августа 2014 г. N 1033 (зарегистрирован Министерством юстиции Российской Федерации 3 сентября 2014 г., регистрационный N 33947), от 13 октября 2014 г. N 1313 (зарегистрирован Министерством юстиции Российской Федерации 13 ноября 2014 г., регистрационный N 34691), от 25 марта 2015 г. N 270 (зарегистрирован Министерством юстиции Российской Федерации 22 апреля 2015 г., регистрационный N 36994) и от 1 октября 2015 г. N 1080 (зарегистрирован Министерством юстиции Российской Федерации 19 октября 2015 г., регистрационный N 39355).</w:t>
      </w:r>
    </w:p>
    <w:p w:rsidR="000976B4" w:rsidRDefault="000976B4" w:rsidP="000976B4">
      <w:pPr>
        <w:autoSpaceDE w:val="0"/>
        <w:autoSpaceDN w:val="0"/>
        <w:adjustRightInd w:val="0"/>
        <w:spacing w:after="0" w:line="240" w:lineRule="auto"/>
        <w:jc w:val="both"/>
        <w:rPr>
          <w:rFonts w:ascii="Arial" w:hAnsi="Arial" w:cs="Arial"/>
          <w:sz w:val="20"/>
          <w:szCs w:val="20"/>
        </w:rPr>
      </w:pPr>
    </w:p>
    <w:p w:rsidR="000976B4" w:rsidRDefault="000976B4" w:rsidP="000976B4">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t>Структура программы бакалавриата</w:t>
      </w:r>
    </w:p>
    <w:p w:rsidR="000976B4" w:rsidRDefault="000976B4" w:rsidP="000976B4">
      <w:pPr>
        <w:autoSpaceDE w:val="0"/>
        <w:autoSpaceDN w:val="0"/>
        <w:adjustRightInd w:val="0"/>
        <w:spacing w:after="0" w:line="240" w:lineRule="auto"/>
        <w:jc w:val="both"/>
        <w:rPr>
          <w:rFonts w:ascii="Arial" w:hAnsi="Arial" w:cs="Arial"/>
          <w:sz w:val="20"/>
          <w:szCs w:val="20"/>
        </w:rPr>
      </w:pPr>
    </w:p>
    <w:p w:rsidR="000976B4" w:rsidRDefault="000976B4" w:rsidP="000976B4">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Таблица</w:t>
      </w:r>
    </w:p>
    <w:p w:rsidR="000976B4" w:rsidRDefault="000976B4" w:rsidP="000976B4">
      <w:pPr>
        <w:autoSpaceDE w:val="0"/>
        <w:autoSpaceDN w:val="0"/>
        <w:adjustRightInd w:val="0"/>
        <w:spacing w:after="0" w:line="240" w:lineRule="auto"/>
        <w:jc w:val="both"/>
        <w:rPr>
          <w:rFonts w:ascii="Arial" w:hAnsi="Arial" w:cs="Arial"/>
          <w:sz w:val="20"/>
          <w:szCs w:val="2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168"/>
        <w:gridCol w:w="4474"/>
        <w:gridCol w:w="2009"/>
        <w:gridCol w:w="2009"/>
      </w:tblGrid>
      <w:tr w:rsidR="000976B4">
        <w:tc>
          <w:tcPr>
            <w:tcW w:w="5642" w:type="dxa"/>
            <w:gridSpan w:val="2"/>
            <w:vMerge w:val="restart"/>
            <w:tcBorders>
              <w:top w:val="single" w:sz="4" w:space="0" w:color="auto"/>
              <w:left w:val="single" w:sz="4" w:space="0" w:color="auto"/>
              <w:bottom w:val="single" w:sz="4" w:space="0" w:color="auto"/>
              <w:right w:val="single" w:sz="4" w:space="0" w:color="auto"/>
            </w:tcBorders>
          </w:tcPr>
          <w:p w:rsidR="000976B4" w:rsidRDefault="000976B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Структура программы бакалавриата</w:t>
            </w:r>
          </w:p>
        </w:tc>
        <w:tc>
          <w:tcPr>
            <w:tcW w:w="4018" w:type="dxa"/>
            <w:gridSpan w:val="2"/>
            <w:tcBorders>
              <w:top w:val="single" w:sz="4" w:space="0" w:color="auto"/>
              <w:left w:val="single" w:sz="4" w:space="0" w:color="auto"/>
              <w:bottom w:val="single" w:sz="4" w:space="0" w:color="auto"/>
              <w:right w:val="single" w:sz="4" w:space="0" w:color="auto"/>
            </w:tcBorders>
          </w:tcPr>
          <w:p w:rsidR="000976B4" w:rsidRDefault="000976B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Объем программы бакалавриата в з.е.</w:t>
            </w:r>
          </w:p>
        </w:tc>
      </w:tr>
      <w:tr w:rsidR="000976B4">
        <w:tc>
          <w:tcPr>
            <w:tcW w:w="5642" w:type="dxa"/>
            <w:gridSpan w:val="2"/>
            <w:vMerge/>
            <w:tcBorders>
              <w:top w:val="single" w:sz="4" w:space="0" w:color="auto"/>
              <w:left w:val="single" w:sz="4" w:space="0" w:color="auto"/>
              <w:bottom w:val="single" w:sz="4" w:space="0" w:color="auto"/>
              <w:right w:val="single" w:sz="4" w:space="0" w:color="auto"/>
            </w:tcBorders>
          </w:tcPr>
          <w:p w:rsidR="000976B4" w:rsidRDefault="000976B4">
            <w:pPr>
              <w:autoSpaceDE w:val="0"/>
              <w:autoSpaceDN w:val="0"/>
              <w:adjustRightInd w:val="0"/>
              <w:spacing w:after="0" w:line="240" w:lineRule="auto"/>
              <w:jc w:val="both"/>
              <w:rPr>
                <w:rFonts w:ascii="Arial" w:hAnsi="Arial" w:cs="Arial"/>
                <w:sz w:val="20"/>
                <w:szCs w:val="20"/>
              </w:rPr>
            </w:pPr>
          </w:p>
        </w:tc>
        <w:tc>
          <w:tcPr>
            <w:tcW w:w="2009" w:type="dxa"/>
            <w:tcBorders>
              <w:top w:val="single" w:sz="4" w:space="0" w:color="auto"/>
              <w:left w:val="single" w:sz="4" w:space="0" w:color="auto"/>
              <w:bottom w:val="single" w:sz="4" w:space="0" w:color="auto"/>
              <w:right w:val="single" w:sz="4" w:space="0" w:color="auto"/>
            </w:tcBorders>
          </w:tcPr>
          <w:p w:rsidR="000976B4" w:rsidRDefault="000976B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программа академического бакалавриата</w:t>
            </w:r>
          </w:p>
        </w:tc>
        <w:tc>
          <w:tcPr>
            <w:tcW w:w="2009" w:type="dxa"/>
            <w:tcBorders>
              <w:top w:val="single" w:sz="4" w:space="0" w:color="auto"/>
              <w:left w:val="single" w:sz="4" w:space="0" w:color="auto"/>
              <w:bottom w:val="single" w:sz="4" w:space="0" w:color="auto"/>
              <w:right w:val="single" w:sz="4" w:space="0" w:color="auto"/>
            </w:tcBorders>
          </w:tcPr>
          <w:p w:rsidR="000976B4" w:rsidRDefault="000976B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программа прикладного бакалавриата</w:t>
            </w:r>
          </w:p>
        </w:tc>
      </w:tr>
      <w:tr w:rsidR="000976B4">
        <w:tc>
          <w:tcPr>
            <w:tcW w:w="1168" w:type="dxa"/>
            <w:tcBorders>
              <w:top w:val="single" w:sz="4" w:space="0" w:color="auto"/>
              <w:left w:val="single" w:sz="4" w:space="0" w:color="auto"/>
              <w:bottom w:val="single" w:sz="4" w:space="0" w:color="auto"/>
              <w:right w:val="single" w:sz="4" w:space="0" w:color="auto"/>
            </w:tcBorders>
          </w:tcPr>
          <w:p w:rsidR="000976B4" w:rsidRDefault="000976B4">
            <w:pPr>
              <w:autoSpaceDE w:val="0"/>
              <w:autoSpaceDN w:val="0"/>
              <w:adjustRightInd w:val="0"/>
              <w:spacing w:after="0" w:line="240" w:lineRule="auto"/>
              <w:rPr>
                <w:rFonts w:ascii="Arial" w:hAnsi="Arial" w:cs="Arial"/>
                <w:sz w:val="20"/>
                <w:szCs w:val="20"/>
              </w:rPr>
            </w:pPr>
            <w:bookmarkStart w:id="1" w:name="Par179"/>
            <w:bookmarkEnd w:id="1"/>
            <w:r>
              <w:rPr>
                <w:rFonts w:ascii="Arial" w:hAnsi="Arial" w:cs="Arial"/>
                <w:sz w:val="20"/>
                <w:szCs w:val="20"/>
              </w:rPr>
              <w:t>Блок 1</w:t>
            </w:r>
          </w:p>
        </w:tc>
        <w:tc>
          <w:tcPr>
            <w:tcW w:w="4474" w:type="dxa"/>
            <w:tcBorders>
              <w:top w:val="single" w:sz="4" w:space="0" w:color="auto"/>
              <w:left w:val="single" w:sz="4" w:space="0" w:color="auto"/>
              <w:bottom w:val="single" w:sz="4" w:space="0" w:color="auto"/>
              <w:right w:val="single" w:sz="4" w:space="0" w:color="auto"/>
            </w:tcBorders>
          </w:tcPr>
          <w:p w:rsidR="000976B4" w:rsidRDefault="000976B4">
            <w:pPr>
              <w:autoSpaceDE w:val="0"/>
              <w:autoSpaceDN w:val="0"/>
              <w:adjustRightInd w:val="0"/>
              <w:spacing w:after="0" w:line="240" w:lineRule="auto"/>
              <w:rPr>
                <w:rFonts w:ascii="Arial" w:hAnsi="Arial" w:cs="Arial"/>
                <w:sz w:val="20"/>
                <w:szCs w:val="20"/>
              </w:rPr>
            </w:pPr>
            <w:r>
              <w:rPr>
                <w:rFonts w:ascii="Arial" w:hAnsi="Arial" w:cs="Arial"/>
                <w:sz w:val="20"/>
                <w:szCs w:val="20"/>
              </w:rPr>
              <w:t>Дисциплины (модули)</w:t>
            </w:r>
          </w:p>
        </w:tc>
        <w:tc>
          <w:tcPr>
            <w:tcW w:w="2009" w:type="dxa"/>
            <w:tcBorders>
              <w:top w:val="single" w:sz="4" w:space="0" w:color="auto"/>
              <w:left w:val="single" w:sz="4" w:space="0" w:color="auto"/>
              <w:bottom w:val="single" w:sz="4" w:space="0" w:color="auto"/>
              <w:right w:val="single" w:sz="4" w:space="0" w:color="auto"/>
            </w:tcBorders>
          </w:tcPr>
          <w:p w:rsidR="000976B4" w:rsidRDefault="000976B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189 - 195</w:t>
            </w:r>
          </w:p>
        </w:tc>
        <w:tc>
          <w:tcPr>
            <w:tcW w:w="2009" w:type="dxa"/>
            <w:tcBorders>
              <w:top w:val="single" w:sz="4" w:space="0" w:color="auto"/>
              <w:left w:val="single" w:sz="4" w:space="0" w:color="auto"/>
              <w:bottom w:val="single" w:sz="4" w:space="0" w:color="auto"/>
              <w:right w:val="single" w:sz="4" w:space="0" w:color="auto"/>
            </w:tcBorders>
          </w:tcPr>
          <w:p w:rsidR="000976B4" w:rsidRDefault="000976B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165 - 177</w:t>
            </w:r>
          </w:p>
        </w:tc>
      </w:tr>
      <w:tr w:rsidR="000976B4">
        <w:tc>
          <w:tcPr>
            <w:tcW w:w="1168" w:type="dxa"/>
            <w:vMerge w:val="restart"/>
            <w:tcBorders>
              <w:top w:val="single" w:sz="4" w:space="0" w:color="auto"/>
              <w:left w:val="single" w:sz="4" w:space="0" w:color="auto"/>
              <w:bottom w:val="single" w:sz="4" w:space="0" w:color="auto"/>
              <w:right w:val="single" w:sz="4" w:space="0" w:color="auto"/>
            </w:tcBorders>
          </w:tcPr>
          <w:p w:rsidR="000976B4" w:rsidRDefault="000976B4">
            <w:pPr>
              <w:autoSpaceDE w:val="0"/>
              <w:autoSpaceDN w:val="0"/>
              <w:adjustRightInd w:val="0"/>
              <w:spacing w:after="0" w:line="240" w:lineRule="auto"/>
              <w:rPr>
                <w:rFonts w:ascii="Arial" w:hAnsi="Arial" w:cs="Arial"/>
                <w:sz w:val="20"/>
                <w:szCs w:val="20"/>
              </w:rPr>
            </w:pPr>
          </w:p>
        </w:tc>
        <w:tc>
          <w:tcPr>
            <w:tcW w:w="4474" w:type="dxa"/>
            <w:tcBorders>
              <w:top w:val="single" w:sz="4" w:space="0" w:color="auto"/>
              <w:left w:val="single" w:sz="4" w:space="0" w:color="auto"/>
              <w:bottom w:val="single" w:sz="4" w:space="0" w:color="auto"/>
              <w:right w:val="single" w:sz="4" w:space="0" w:color="auto"/>
            </w:tcBorders>
          </w:tcPr>
          <w:p w:rsidR="000976B4" w:rsidRDefault="000976B4">
            <w:pPr>
              <w:autoSpaceDE w:val="0"/>
              <w:autoSpaceDN w:val="0"/>
              <w:adjustRightInd w:val="0"/>
              <w:spacing w:after="0" w:line="240" w:lineRule="auto"/>
              <w:rPr>
                <w:rFonts w:ascii="Arial" w:hAnsi="Arial" w:cs="Arial"/>
                <w:sz w:val="20"/>
                <w:szCs w:val="20"/>
              </w:rPr>
            </w:pPr>
            <w:bookmarkStart w:id="2" w:name="Par184"/>
            <w:bookmarkEnd w:id="2"/>
            <w:r>
              <w:rPr>
                <w:rFonts w:ascii="Arial" w:hAnsi="Arial" w:cs="Arial"/>
                <w:sz w:val="20"/>
                <w:szCs w:val="20"/>
              </w:rPr>
              <w:t>Базовая часть</w:t>
            </w:r>
          </w:p>
        </w:tc>
        <w:tc>
          <w:tcPr>
            <w:tcW w:w="2009" w:type="dxa"/>
            <w:tcBorders>
              <w:top w:val="single" w:sz="4" w:space="0" w:color="auto"/>
              <w:left w:val="single" w:sz="4" w:space="0" w:color="auto"/>
              <w:bottom w:val="single" w:sz="4" w:space="0" w:color="auto"/>
              <w:right w:val="single" w:sz="4" w:space="0" w:color="auto"/>
            </w:tcBorders>
          </w:tcPr>
          <w:p w:rsidR="000976B4" w:rsidRDefault="000976B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141 - 159</w:t>
            </w:r>
          </w:p>
        </w:tc>
        <w:tc>
          <w:tcPr>
            <w:tcW w:w="2009" w:type="dxa"/>
            <w:tcBorders>
              <w:top w:val="single" w:sz="4" w:space="0" w:color="auto"/>
              <w:left w:val="single" w:sz="4" w:space="0" w:color="auto"/>
              <w:bottom w:val="single" w:sz="4" w:space="0" w:color="auto"/>
              <w:right w:val="single" w:sz="4" w:space="0" w:color="auto"/>
            </w:tcBorders>
          </w:tcPr>
          <w:p w:rsidR="000976B4" w:rsidRDefault="000976B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117 - 141</w:t>
            </w:r>
          </w:p>
        </w:tc>
      </w:tr>
      <w:tr w:rsidR="000976B4">
        <w:tc>
          <w:tcPr>
            <w:tcW w:w="1168" w:type="dxa"/>
            <w:vMerge/>
            <w:tcBorders>
              <w:top w:val="single" w:sz="4" w:space="0" w:color="auto"/>
              <w:left w:val="single" w:sz="4" w:space="0" w:color="auto"/>
              <w:bottom w:val="single" w:sz="4" w:space="0" w:color="auto"/>
              <w:right w:val="single" w:sz="4" w:space="0" w:color="auto"/>
            </w:tcBorders>
          </w:tcPr>
          <w:p w:rsidR="000976B4" w:rsidRDefault="000976B4">
            <w:pPr>
              <w:autoSpaceDE w:val="0"/>
              <w:autoSpaceDN w:val="0"/>
              <w:adjustRightInd w:val="0"/>
              <w:spacing w:after="0" w:line="240" w:lineRule="auto"/>
              <w:jc w:val="both"/>
              <w:rPr>
                <w:rFonts w:ascii="Arial" w:hAnsi="Arial" w:cs="Arial"/>
                <w:sz w:val="20"/>
                <w:szCs w:val="20"/>
              </w:rPr>
            </w:pPr>
          </w:p>
        </w:tc>
        <w:tc>
          <w:tcPr>
            <w:tcW w:w="4474" w:type="dxa"/>
            <w:tcBorders>
              <w:top w:val="single" w:sz="4" w:space="0" w:color="auto"/>
              <w:left w:val="single" w:sz="4" w:space="0" w:color="auto"/>
              <w:bottom w:val="single" w:sz="4" w:space="0" w:color="auto"/>
              <w:right w:val="single" w:sz="4" w:space="0" w:color="auto"/>
            </w:tcBorders>
          </w:tcPr>
          <w:p w:rsidR="000976B4" w:rsidRDefault="000976B4">
            <w:pPr>
              <w:autoSpaceDE w:val="0"/>
              <w:autoSpaceDN w:val="0"/>
              <w:adjustRightInd w:val="0"/>
              <w:spacing w:after="0" w:line="240" w:lineRule="auto"/>
              <w:rPr>
                <w:rFonts w:ascii="Arial" w:hAnsi="Arial" w:cs="Arial"/>
                <w:sz w:val="20"/>
                <w:szCs w:val="20"/>
              </w:rPr>
            </w:pPr>
            <w:bookmarkStart w:id="3" w:name="Par187"/>
            <w:bookmarkEnd w:id="3"/>
            <w:r>
              <w:rPr>
                <w:rFonts w:ascii="Arial" w:hAnsi="Arial" w:cs="Arial"/>
                <w:sz w:val="20"/>
                <w:szCs w:val="20"/>
              </w:rPr>
              <w:t>Вариативная часть</w:t>
            </w:r>
          </w:p>
        </w:tc>
        <w:tc>
          <w:tcPr>
            <w:tcW w:w="2009" w:type="dxa"/>
            <w:tcBorders>
              <w:top w:val="single" w:sz="4" w:space="0" w:color="auto"/>
              <w:left w:val="single" w:sz="4" w:space="0" w:color="auto"/>
              <w:bottom w:val="single" w:sz="4" w:space="0" w:color="auto"/>
              <w:right w:val="single" w:sz="4" w:space="0" w:color="auto"/>
            </w:tcBorders>
          </w:tcPr>
          <w:p w:rsidR="000976B4" w:rsidRDefault="000976B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36 - 48</w:t>
            </w:r>
          </w:p>
        </w:tc>
        <w:tc>
          <w:tcPr>
            <w:tcW w:w="2009" w:type="dxa"/>
            <w:tcBorders>
              <w:top w:val="single" w:sz="4" w:space="0" w:color="auto"/>
              <w:left w:val="single" w:sz="4" w:space="0" w:color="auto"/>
              <w:bottom w:val="single" w:sz="4" w:space="0" w:color="auto"/>
              <w:right w:val="single" w:sz="4" w:space="0" w:color="auto"/>
            </w:tcBorders>
          </w:tcPr>
          <w:p w:rsidR="000976B4" w:rsidRDefault="000976B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36 - 48</w:t>
            </w:r>
          </w:p>
        </w:tc>
      </w:tr>
      <w:tr w:rsidR="000976B4">
        <w:tc>
          <w:tcPr>
            <w:tcW w:w="1168" w:type="dxa"/>
            <w:vMerge w:val="restart"/>
            <w:tcBorders>
              <w:top w:val="single" w:sz="4" w:space="0" w:color="auto"/>
              <w:left w:val="single" w:sz="4" w:space="0" w:color="auto"/>
              <w:bottom w:val="single" w:sz="4" w:space="0" w:color="auto"/>
              <w:right w:val="single" w:sz="4" w:space="0" w:color="auto"/>
            </w:tcBorders>
          </w:tcPr>
          <w:p w:rsidR="000976B4" w:rsidRDefault="000976B4">
            <w:pPr>
              <w:autoSpaceDE w:val="0"/>
              <w:autoSpaceDN w:val="0"/>
              <w:adjustRightInd w:val="0"/>
              <w:spacing w:after="0" w:line="240" w:lineRule="auto"/>
              <w:rPr>
                <w:rFonts w:ascii="Arial" w:hAnsi="Arial" w:cs="Arial"/>
                <w:sz w:val="20"/>
                <w:szCs w:val="20"/>
              </w:rPr>
            </w:pPr>
            <w:bookmarkStart w:id="4" w:name="Par190"/>
            <w:bookmarkEnd w:id="4"/>
            <w:r>
              <w:rPr>
                <w:rFonts w:ascii="Arial" w:hAnsi="Arial" w:cs="Arial"/>
                <w:sz w:val="20"/>
                <w:szCs w:val="20"/>
              </w:rPr>
              <w:t>Блок 2</w:t>
            </w:r>
          </w:p>
        </w:tc>
        <w:tc>
          <w:tcPr>
            <w:tcW w:w="4474" w:type="dxa"/>
            <w:tcBorders>
              <w:top w:val="single" w:sz="4" w:space="0" w:color="auto"/>
              <w:left w:val="single" w:sz="4" w:space="0" w:color="auto"/>
              <w:bottom w:val="single" w:sz="4" w:space="0" w:color="auto"/>
              <w:right w:val="single" w:sz="4" w:space="0" w:color="auto"/>
            </w:tcBorders>
          </w:tcPr>
          <w:p w:rsidR="000976B4" w:rsidRDefault="000976B4">
            <w:pPr>
              <w:autoSpaceDE w:val="0"/>
              <w:autoSpaceDN w:val="0"/>
              <w:adjustRightInd w:val="0"/>
              <w:spacing w:after="0" w:line="240" w:lineRule="auto"/>
              <w:rPr>
                <w:rFonts w:ascii="Arial" w:hAnsi="Arial" w:cs="Arial"/>
                <w:sz w:val="20"/>
                <w:szCs w:val="20"/>
              </w:rPr>
            </w:pPr>
            <w:r>
              <w:rPr>
                <w:rFonts w:ascii="Arial" w:hAnsi="Arial" w:cs="Arial"/>
                <w:sz w:val="20"/>
                <w:szCs w:val="20"/>
              </w:rPr>
              <w:t>Практики</w:t>
            </w:r>
          </w:p>
        </w:tc>
        <w:tc>
          <w:tcPr>
            <w:tcW w:w="2009" w:type="dxa"/>
            <w:tcBorders>
              <w:top w:val="single" w:sz="4" w:space="0" w:color="auto"/>
              <w:left w:val="single" w:sz="4" w:space="0" w:color="auto"/>
              <w:bottom w:val="single" w:sz="4" w:space="0" w:color="auto"/>
              <w:right w:val="single" w:sz="4" w:space="0" w:color="auto"/>
            </w:tcBorders>
          </w:tcPr>
          <w:p w:rsidR="000976B4" w:rsidRDefault="000976B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36 - 45</w:t>
            </w:r>
          </w:p>
        </w:tc>
        <w:tc>
          <w:tcPr>
            <w:tcW w:w="2009" w:type="dxa"/>
            <w:tcBorders>
              <w:top w:val="single" w:sz="4" w:space="0" w:color="auto"/>
              <w:left w:val="single" w:sz="4" w:space="0" w:color="auto"/>
              <w:bottom w:val="single" w:sz="4" w:space="0" w:color="auto"/>
              <w:right w:val="single" w:sz="4" w:space="0" w:color="auto"/>
            </w:tcBorders>
          </w:tcPr>
          <w:p w:rsidR="000976B4" w:rsidRDefault="000976B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54 - 69</w:t>
            </w:r>
          </w:p>
        </w:tc>
      </w:tr>
      <w:tr w:rsidR="000976B4">
        <w:tc>
          <w:tcPr>
            <w:tcW w:w="1168" w:type="dxa"/>
            <w:vMerge/>
            <w:tcBorders>
              <w:top w:val="single" w:sz="4" w:space="0" w:color="auto"/>
              <w:left w:val="single" w:sz="4" w:space="0" w:color="auto"/>
              <w:bottom w:val="single" w:sz="4" w:space="0" w:color="auto"/>
              <w:right w:val="single" w:sz="4" w:space="0" w:color="auto"/>
            </w:tcBorders>
          </w:tcPr>
          <w:p w:rsidR="000976B4" w:rsidRDefault="000976B4">
            <w:pPr>
              <w:autoSpaceDE w:val="0"/>
              <w:autoSpaceDN w:val="0"/>
              <w:adjustRightInd w:val="0"/>
              <w:spacing w:after="0" w:line="240" w:lineRule="auto"/>
              <w:jc w:val="both"/>
              <w:rPr>
                <w:rFonts w:ascii="Arial" w:hAnsi="Arial" w:cs="Arial"/>
                <w:sz w:val="20"/>
                <w:szCs w:val="20"/>
              </w:rPr>
            </w:pPr>
          </w:p>
        </w:tc>
        <w:tc>
          <w:tcPr>
            <w:tcW w:w="4474" w:type="dxa"/>
            <w:tcBorders>
              <w:top w:val="single" w:sz="4" w:space="0" w:color="auto"/>
              <w:left w:val="single" w:sz="4" w:space="0" w:color="auto"/>
              <w:bottom w:val="single" w:sz="4" w:space="0" w:color="auto"/>
              <w:right w:val="single" w:sz="4" w:space="0" w:color="auto"/>
            </w:tcBorders>
          </w:tcPr>
          <w:p w:rsidR="000976B4" w:rsidRDefault="000976B4">
            <w:pPr>
              <w:autoSpaceDE w:val="0"/>
              <w:autoSpaceDN w:val="0"/>
              <w:adjustRightInd w:val="0"/>
              <w:spacing w:after="0" w:line="240" w:lineRule="auto"/>
              <w:rPr>
                <w:rFonts w:ascii="Arial" w:hAnsi="Arial" w:cs="Arial"/>
                <w:sz w:val="20"/>
                <w:szCs w:val="20"/>
              </w:rPr>
            </w:pPr>
            <w:r>
              <w:rPr>
                <w:rFonts w:ascii="Arial" w:hAnsi="Arial" w:cs="Arial"/>
                <w:sz w:val="20"/>
                <w:szCs w:val="20"/>
              </w:rPr>
              <w:t>Вариативная часть</w:t>
            </w:r>
          </w:p>
        </w:tc>
        <w:tc>
          <w:tcPr>
            <w:tcW w:w="2009" w:type="dxa"/>
            <w:tcBorders>
              <w:top w:val="single" w:sz="4" w:space="0" w:color="auto"/>
              <w:left w:val="single" w:sz="4" w:space="0" w:color="auto"/>
              <w:bottom w:val="single" w:sz="4" w:space="0" w:color="auto"/>
              <w:right w:val="single" w:sz="4" w:space="0" w:color="auto"/>
            </w:tcBorders>
          </w:tcPr>
          <w:p w:rsidR="000976B4" w:rsidRDefault="000976B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36 - 45</w:t>
            </w:r>
          </w:p>
        </w:tc>
        <w:tc>
          <w:tcPr>
            <w:tcW w:w="2009" w:type="dxa"/>
            <w:tcBorders>
              <w:top w:val="single" w:sz="4" w:space="0" w:color="auto"/>
              <w:left w:val="single" w:sz="4" w:space="0" w:color="auto"/>
              <w:bottom w:val="single" w:sz="4" w:space="0" w:color="auto"/>
              <w:right w:val="single" w:sz="4" w:space="0" w:color="auto"/>
            </w:tcBorders>
          </w:tcPr>
          <w:p w:rsidR="000976B4" w:rsidRDefault="000976B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54 - 69</w:t>
            </w:r>
          </w:p>
        </w:tc>
      </w:tr>
      <w:tr w:rsidR="000976B4">
        <w:tc>
          <w:tcPr>
            <w:tcW w:w="1168" w:type="dxa"/>
            <w:vMerge w:val="restart"/>
            <w:tcBorders>
              <w:top w:val="single" w:sz="4" w:space="0" w:color="auto"/>
              <w:left w:val="single" w:sz="4" w:space="0" w:color="auto"/>
              <w:bottom w:val="single" w:sz="4" w:space="0" w:color="auto"/>
              <w:right w:val="single" w:sz="4" w:space="0" w:color="auto"/>
            </w:tcBorders>
          </w:tcPr>
          <w:p w:rsidR="000976B4" w:rsidRDefault="000976B4">
            <w:pPr>
              <w:autoSpaceDE w:val="0"/>
              <w:autoSpaceDN w:val="0"/>
              <w:adjustRightInd w:val="0"/>
              <w:spacing w:after="0" w:line="240" w:lineRule="auto"/>
              <w:rPr>
                <w:rFonts w:ascii="Arial" w:hAnsi="Arial" w:cs="Arial"/>
                <w:sz w:val="20"/>
                <w:szCs w:val="20"/>
              </w:rPr>
            </w:pPr>
            <w:bookmarkStart w:id="5" w:name="Par197"/>
            <w:bookmarkEnd w:id="5"/>
            <w:r>
              <w:rPr>
                <w:rFonts w:ascii="Arial" w:hAnsi="Arial" w:cs="Arial"/>
                <w:sz w:val="20"/>
                <w:szCs w:val="20"/>
              </w:rPr>
              <w:t>Блок 3</w:t>
            </w:r>
          </w:p>
        </w:tc>
        <w:tc>
          <w:tcPr>
            <w:tcW w:w="4474" w:type="dxa"/>
            <w:tcBorders>
              <w:top w:val="single" w:sz="4" w:space="0" w:color="auto"/>
              <w:left w:val="single" w:sz="4" w:space="0" w:color="auto"/>
              <w:bottom w:val="single" w:sz="4" w:space="0" w:color="auto"/>
              <w:right w:val="single" w:sz="4" w:space="0" w:color="auto"/>
            </w:tcBorders>
          </w:tcPr>
          <w:p w:rsidR="000976B4" w:rsidRDefault="000976B4">
            <w:pPr>
              <w:autoSpaceDE w:val="0"/>
              <w:autoSpaceDN w:val="0"/>
              <w:adjustRightInd w:val="0"/>
              <w:spacing w:after="0" w:line="240" w:lineRule="auto"/>
              <w:rPr>
                <w:rFonts w:ascii="Arial" w:hAnsi="Arial" w:cs="Arial"/>
                <w:sz w:val="20"/>
                <w:szCs w:val="20"/>
              </w:rPr>
            </w:pPr>
            <w:r>
              <w:rPr>
                <w:rFonts w:ascii="Arial" w:hAnsi="Arial" w:cs="Arial"/>
                <w:sz w:val="20"/>
                <w:szCs w:val="20"/>
              </w:rPr>
              <w:t>Государственная итоговая аттестация</w:t>
            </w:r>
          </w:p>
        </w:tc>
        <w:tc>
          <w:tcPr>
            <w:tcW w:w="2009" w:type="dxa"/>
            <w:tcBorders>
              <w:top w:val="single" w:sz="4" w:space="0" w:color="auto"/>
              <w:left w:val="single" w:sz="4" w:space="0" w:color="auto"/>
              <w:bottom w:val="single" w:sz="4" w:space="0" w:color="auto"/>
              <w:right w:val="single" w:sz="4" w:space="0" w:color="auto"/>
            </w:tcBorders>
          </w:tcPr>
          <w:p w:rsidR="000976B4" w:rsidRDefault="000976B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6 - 9</w:t>
            </w:r>
          </w:p>
        </w:tc>
        <w:tc>
          <w:tcPr>
            <w:tcW w:w="2009" w:type="dxa"/>
            <w:tcBorders>
              <w:top w:val="single" w:sz="4" w:space="0" w:color="auto"/>
              <w:left w:val="single" w:sz="4" w:space="0" w:color="auto"/>
              <w:bottom w:val="single" w:sz="4" w:space="0" w:color="auto"/>
              <w:right w:val="single" w:sz="4" w:space="0" w:color="auto"/>
            </w:tcBorders>
          </w:tcPr>
          <w:p w:rsidR="000976B4" w:rsidRDefault="000976B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6 - 9</w:t>
            </w:r>
          </w:p>
        </w:tc>
      </w:tr>
      <w:tr w:rsidR="000976B4">
        <w:tc>
          <w:tcPr>
            <w:tcW w:w="1168" w:type="dxa"/>
            <w:vMerge/>
            <w:tcBorders>
              <w:top w:val="single" w:sz="4" w:space="0" w:color="auto"/>
              <w:left w:val="single" w:sz="4" w:space="0" w:color="auto"/>
              <w:bottom w:val="single" w:sz="4" w:space="0" w:color="auto"/>
              <w:right w:val="single" w:sz="4" w:space="0" w:color="auto"/>
            </w:tcBorders>
          </w:tcPr>
          <w:p w:rsidR="000976B4" w:rsidRDefault="000976B4">
            <w:pPr>
              <w:autoSpaceDE w:val="0"/>
              <w:autoSpaceDN w:val="0"/>
              <w:adjustRightInd w:val="0"/>
              <w:spacing w:after="0" w:line="240" w:lineRule="auto"/>
              <w:jc w:val="both"/>
              <w:rPr>
                <w:rFonts w:ascii="Arial" w:hAnsi="Arial" w:cs="Arial"/>
                <w:sz w:val="20"/>
                <w:szCs w:val="20"/>
              </w:rPr>
            </w:pPr>
          </w:p>
        </w:tc>
        <w:tc>
          <w:tcPr>
            <w:tcW w:w="4474" w:type="dxa"/>
            <w:tcBorders>
              <w:top w:val="single" w:sz="4" w:space="0" w:color="auto"/>
              <w:left w:val="single" w:sz="4" w:space="0" w:color="auto"/>
              <w:bottom w:val="single" w:sz="4" w:space="0" w:color="auto"/>
              <w:right w:val="single" w:sz="4" w:space="0" w:color="auto"/>
            </w:tcBorders>
            <w:vAlign w:val="bottom"/>
          </w:tcPr>
          <w:p w:rsidR="000976B4" w:rsidRDefault="000976B4">
            <w:pPr>
              <w:autoSpaceDE w:val="0"/>
              <w:autoSpaceDN w:val="0"/>
              <w:adjustRightInd w:val="0"/>
              <w:spacing w:after="0" w:line="240" w:lineRule="auto"/>
              <w:rPr>
                <w:rFonts w:ascii="Arial" w:hAnsi="Arial" w:cs="Arial"/>
                <w:sz w:val="20"/>
                <w:szCs w:val="20"/>
              </w:rPr>
            </w:pPr>
            <w:r>
              <w:rPr>
                <w:rFonts w:ascii="Arial" w:hAnsi="Arial" w:cs="Arial"/>
                <w:sz w:val="20"/>
                <w:szCs w:val="20"/>
              </w:rPr>
              <w:t>Базовая часть</w:t>
            </w:r>
          </w:p>
        </w:tc>
        <w:tc>
          <w:tcPr>
            <w:tcW w:w="2009" w:type="dxa"/>
            <w:tcBorders>
              <w:top w:val="single" w:sz="4" w:space="0" w:color="auto"/>
              <w:left w:val="single" w:sz="4" w:space="0" w:color="auto"/>
              <w:bottom w:val="single" w:sz="4" w:space="0" w:color="auto"/>
              <w:right w:val="single" w:sz="4" w:space="0" w:color="auto"/>
            </w:tcBorders>
            <w:vAlign w:val="bottom"/>
          </w:tcPr>
          <w:p w:rsidR="000976B4" w:rsidRDefault="000976B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6 - 9</w:t>
            </w:r>
          </w:p>
        </w:tc>
        <w:tc>
          <w:tcPr>
            <w:tcW w:w="2009" w:type="dxa"/>
            <w:tcBorders>
              <w:top w:val="single" w:sz="4" w:space="0" w:color="auto"/>
              <w:left w:val="single" w:sz="4" w:space="0" w:color="auto"/>
              <w:bottom w:val="single" w:sz="4" w:space="0" w:color="auto"/>
              <w:right w:val="single" w:sz="4" w:space="0" w:color="auto"/>
            </w:tcBorders>
            <w:vAlign w:val="bottom"/>
          </w:tcPr>
          <w:p w:rsidR="000976B4" w:rsidRDefault="000976B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6 - 9</w:t>
            </w:r>
          </w:p>
        </w:tc>
      </w:tr>
      <w:tr w:rsidR="000976B4">
        <w:tc>
          <w:tcPr>
            <w:tcW w:w="5642" w:type="dxa"/>
            <w:gridSpan w:val="2"/>
            <w:tcBorders>
              <w:top w:val="single" w:sz="4" w:space="0" w:color="auto"/>
              <w:left w:val="single" w:sz="4" w:space="0" w:color="auto"/>
              <w:bottom w:val="single" w:sz="4" w:space="0" w:color="auto"/>
              <w:right w:val="single" w:sz="4" w:space="0" w:color="auto"/>
            </w:tcBorders>
          </w:tcPr>
          <w:p w:rsidR="000976B4" w:rsidRDefault="000976B4">
            <w:pPr>
              <w:autoSpaceDE w:val="0"/>
              <w:autoSpaceDN w:val="0"/>
              <w:adjustRightInd w:val="0"/>
              <w:spacing w:after="0" w:line="240" w:lineRule="auto"/>
              <w:rPr>
                <w:rFonts w:ascii="Arial" w:hAnsi="Arial" w:cs="Arial"/>
                <w:sz w:val="20"/>
                <w:szCs w:val="20"/>
              </w:rPr>
            </w:pPr>
            <w:r>
              <w:rPr>
                <w:rFonts w:ascii="Arial" w:hAnsi="Arial" w:cs="Arial"/>
                <w:sz w:val="20"/>
                <w:szCs w:val="20"/>
              </w:rPr>
              <w:t>Объем программы бакалавриата</w:t>
            </w:r>
          </w:p>
        </w:tc>
        <w:tc>
          <w:tcPr>
            <w:tcW w:w="2009" w:type="dxa"/>
            <w:tcBorders>
              <w:top w:val="single" w:sz="4" w:space="0" w:color="auto"/>
              <w:left w:val="single" w:sz="4" w:space="0" w:color="auto"/>
              <w:bottom w:val="single" w:sz="4" w:space="0" w:color="auto"/>
              <w:right w:val="single" w:sz="4" w:space="0" w:color="auto"/>
            </w:tcBorders>
          </w:tcPr>
          <w:p w:rsidR="000976B4" w:rsidRDefault="000976B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240</w:t>
            </w:r>
          </w:p>
        </w:tc>
        <w:tc>
          <w:tcPr>
            <w:tcW w:w="2009" w:type="dxa"/>
            <w:tcBorders>
              <w:top w:val="single" w:sz="4" w:space="0" w:color="auto"/>
              <w:left w:val="single" w:sz="4" w:space="0" w:color="auto"/>
              <w:bottom w:val="single" w:sz="4" w:space="0" w:color="auto"/>
              <w:right w:val="single" w:sz="4" w:space="0" w:color="auto"/>
            </w:tcBorders>
          </w:tcPr>
          <w:p w:rsidR="000976B4" w:rsidRDefault="000976B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240</w:t>
            </w:r>
          </w:p>
        </w:tc>
      </w:tr>
    </w:tbl>
    <w:p w:rsidR="000976B4" w:rsidRDefault="000976B4" w:rsidP="000976B4">
      <w:pPr>
        <w:autoSpaceDE w:val="0"/>
        <w:autoSpaceDN w:val="0"/>
        <w:adjustRightInd w:val="0"/>
        <w:spacing w:after="0" w:line="240" w:lineRule="auto"/>
        <w:jc w:val="both"/>
        <w:rPr>
          <w:rFonts w:ascii="Arial" w:hAnsi="Arial" w:cs="Arial"/>
          <w:sz w:val="20"/>
          <w:szCs w:val="20"/>
        </w:rPr>
      </w:pPr>
    </w:p>
    <w:p w:rsidR="000976B4" w:rsidRDefault="000976B4" w:rsidP="000976B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6.3. Дисциплины (модули), относящиеся к базовой части программы бакалавриата, являются обязательными для освоения обучающимся вне зависимости от направленности (профиля) программы бакалавриата, которую он осваивает. Набор дисциплин (модулей), относящихся к базовой части программы бакалавриата, организация определяет самостоятельно в объеме, установленном настоящим ФГОС ВО, с учетом соответствующей (соответствующих) примерной (примерных) основной (основных) образовательной (образовательных) программы (программ).</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6.4. Дисциплины (модули) по философии, истории, иностранному языку, безопасности жизнедеятельности реализуются в рамках </w:t>
      </w:r>
      <w:hyperlink w:anchor="Par184" w:history="1">
        <w:r>
          <w:rPr>
            <w:rFonts w:ascii="Arial" w:hAnsi="Arial" w:cs="Arial"/>
            <w:color w:val="0000FF"/>
            <w:sz w:val="20"/>
            <w:szCs w:val="20"/>
          </w:rPr>
          <w:t>базовой части</w:t>
        </w:r>
      </w:hyperlink>
      <w:r>
        <w:rPr>
          <w:rFonts w:ascii="Arial" w:hAnsi="Arial" w:cs="Arial"/>
          <w:sz w:val="20"/>
          <w:szCs w:val="20"/>
        </w:rPr>
        <w:t xml:space="preserve"> Блока 1 "Дисциплины (модули)" программы бакалавриата. Объем, содержание и порядок реализации указанных дисциплин (модулей) определяются организацией самостоятельно.</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6.5. Дисциплины (модули) по физической культуре и спорту реализуются в рамках:</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hyperlink w:anchor="Par184" w:history="1">
        <w:r>
          <w:rPr>
            <w:rFonts w:ascii="Arial" w:hAnsi="Arial" w:cs="Arial"/>
            <w:color w:val="0000FF"/>
            <w:sz w:val="20"/>
            <w:szCs w:val="20"/>
          </w:rPr>
          <w:t>базовой части</w:t>
        </w:r>
      </w:hyperlink>
      <w:r>
        <w:rPr>
          <w:rFonts w:ascii="Arial" w:hAnsi="Arial" w:cs="Arial"/>
          <w:sz w:val="20"/>
          <w:szCs w:val="20"/>
        </w:rPr>
        <w:t xml:space="preserve"> Блока 1 "Дисциплины (модули)" программы бакалавриата в объеме не менее 72 академических часов (2 з.е.) в очной форме обучения;</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элективных дисциплин (модулей) в объеме не менее 328 академических часов. Указанные академические часы являются обязательными для освоения и в з.е. не переводятся.</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Дисциплины (модули) по физической культуре и спорту реализуются в порядке, установленном организацией. Для инвалидов и лиц с ограниченными возможностями здоровья организация устанавливает особый порядок освоения дисциплин (модулей) по физической культуре и спорту с учетом состояния их здоровья.</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6.6. Дисциплины (модули), относящиеся к вариативной части программы бакалавриата, и практики определяют направленность (профиль) программы бакалавриата. Набор дисциплин (модулей), относящихся к вариативной части программы бакалавриата, и практик организация определяет самостоятельно в объеме, установленном настоящим ФГОС ВО. После выбора обучающимся направленности (профиля) программы, набор соответствующих дисциплин (модулей) и практик становится обязательным для освоения обучающимся.</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6.7. В </w:t>
      </w:r>
      <w:hyperlink w:anchor="Par190" w:history="1">
        <w:r>
          <w:rPr>
            <w:rFonts w:ascii="Arial" w:hAnsi="Arial" w:cs="Arial"/>
            <w:color w:val="0000FF"/>
            <w:sz w:val="20"/>
            <w:szCs w:val="20"/>
          </w:rPr>
          <w:t>Блок 2</w:t>
        </w:r>
      </w:hyperlink>
      <w:r>
        <w:rPr>
          <w:rFonts w:ascii="Arial" w:hAnsi="Arial" w:cs="Arial"/>
          <w:sz w:val="20"/>
          <w:szCs w:val="20"/>
        </w:rPr>
        <w:t xml:space="preserve"> "Практики" входят учебная и производственная, в том числе преддипломная практики.</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Тип учебной практики:</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практика по получению первичных профессиональных умений и навыков, в том числе первичных умений и навыков научно-исследовательской деятельности.</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Способы проведения учебной практики:</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стационарная;</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выездная.</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Типы производственной практики:</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практика по получению профессиональных умений и опыта профессиональной деятельности;</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научно-исследовательская работа.</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Способы проведения производственной практики:</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стационарная;</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выездная.</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Преддипломная практика проводится для выполнения выпускной квалификационной работы и является обязательной.</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разработке программ бакалавриата организация выбирает типы практик в зависимости от вида (видов) деятельности, на который (которые) ориентирована программа бакалавриата. Организация вправе предусмотреть в программе бакалавриата иные типы практик дополнительно к установленным настоящим ФГОС ВО.</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Учебная и (или) производственная практики могут проводиться в структурных подразделениях организации.</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6.8. В </w:t>
      </w:r>
      <w:hyperlink w:anchor="Par197" w:history="1">
        <w:r>
          <w:rPr>
            <w:rFonts w:ascii="Arial" w:hAnsi="Arial" w:cs="Arial"/>
            <w:color w:val="0000FF"/>
            <w:sz w:val="20"/>
            <w:szCs w:val="20"/>
          </w:rPr>
          <w:t>Блок 3</w:t>
        </w:r>
      </w:hyperlink>
      <w:r>
        <w:rPr>
          <w:rFonts w:ascii="Arial" w:hAnsi="Arial" w:cs="Arial"/>
          <w:sz w:val="20"/>
          <w:szCs w:val="20"/>
        </w:rPr>
        <w:t xml:space="preserve"> "Государственная итоговая аттестация" входит защита выпускной квалификационной работы, включая подготовку к процедуре защиты и процедуру защиты, а также подготовка к сдаче и сдача государственного экзамена (если организация включила государственный экзамен в состав государственной итоговой аттестации).</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6.9. При разработке программы бакалавриата обучающимся обеспечивается возможность освоения дисциплин (модулей) по выбору, в том числе специальные условия инвалидам и лицам с ограниченными возможностями здоровья, в объеме не менее 30 процентов </w:t>
      </w:r>
      <w:hyperlink w:anchor="Par187" w:history="1">
        <w:r>
          <w:rPr>
            <w:rFonts w:ascii="Arial" w:hAnsi="Arial" w:cs="Arial"/>
            <w:color w:val="0000FF"/>
            <w:sz w:val="20"/>
            <w:szCs w:val="20"/>
          </w:rPr>
          <w:t>вариативной части</w:t>
        </w:r>
      </w:hyperlink>
      <w:r>
        <w:rPr>
          <w:rFonts w:ascii="Arial" w:hAnsi="Arial" w:cs="Arial"/>
          <w:sz w:val="20"/>
          <w:szCs w:val="20"/>
        </w:rPr>
        <w:t xml:space="preserve"> Блока 1 "Дисциплины (модули)".</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6.10. Количество часов, отведенных на занятия лекционного типа, в целом по </w:t>
      </w:r>
      <w:hyperlink w:anchor="Par179" w:history="1">
        <w:r>
          <w:rPr>
            <w:rFonts w:ascii="Arial" w:hAnsi="Arial" w:cs="Arial"/>
            <w:color w:val="0000FF"/>
            <w:sz w:val="20"/>
            <w:szCs w:val="20"/>
          </w:rPr>
          <w:t>Блоку 1</w:t>
        </w:r>
      </w:hyperlink>
      <w:r>
        <w:rPr>
          <w:rFonts w:ascii="Arial" w:hAnsi="Arial" w:cs="Arial"/>
          <w:sz w:val="20"/>
          <w:szCs w:val="20"/>
        </w:rPr>
        <w:t xml:space="preserve"> "Дисциплины (модули)" должно составлять не более 40 процентов от общего количества часов аудиторных занятий, отведенных на реализацию данного Блока.</w:t>
      </w:r>
    </w:p>
    <w:p w:rsidR="000976B4" w:rsidRDefault="000976B4" w:rsidP="000976B4">
      <w:pPr>
        <w:autoSpaceDE w:val="0"/>
        <w:autoSpaceDN w:val="0"/>
        <w:adjustRightInd w:val="0"/>
        <w:spacing w:after="0" w:line="240" w:lineRule="auto"/>
        <w:jc w:val="both"/>
        <w:rPr>
          <w:rFonts w:ascii="Arial" w:hAnsi="Arial" w:cs="Arial"/>
          <w:sz w:val="20"/>
          <w:szCs w:val="20"/>
        </w:rPr>
      </w:pPr>
    </w:p>
    <w:p w:rsidR="000976B4" w:rsidRDefault="000976B4" w:rsidP="000976B4">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VII. ТРЕБОВАНИЯ К УСЛОВИЯМ РЕАЛИЗАЦИИ</w:t>
      </w:r>
    </w:p>
    <w:p w:rsidR="000976B4" w:rsidRDefault="000976B4" w:rsidP="000976B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ПРОГРАММЫ БАКАЛАВРИАТА</w:t>
      </w:r>
    </w:p>
    <w:p w:rsidR="000976B4" w:rsidRDefault="000976B4" w:rsidP="000976B4">
      <w:pPr>
        <w:autoSpaceDE w:val="0"/>
        <w:autoSpaceDN w:val="0"/>
        <w:adjustRightInd w:val="0"/>
        <w:spacing w:after="0" w:line="240" w:lineRule="auto"/>
        <w:jc w:val="both"/>
        <w:rPr>
          <w:rFonts w:ascii="Arial" w:hAnsi="Arial" w:cs="Arial"/>
          <w:sz w:val="20"/>
          <w:szCs w:val="20"/>
        </w:rPr>
      </w:pPr>
    </w:p>
    <w:p w:rsidR="000976B4" w:rsidRDefault="000976B4" w:rsidP="000976B4">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7.1. Общесистемные требования к реализации программы бакалавриата.</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7.1.1. Организация должна располагать материально-технической базой, соответствующей действующим противопожарным правилам и нормам и обеспечивающей проведение всех видов дисциплинарной и междисциплинарной подготовки, практической и научно-исследовательской работ обучающихся, предусмотренных учебным планом.</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7.1.2. 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Электронная информационно-образовательная среда организации должна обеспечивать:</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доступ к учебным планам, рабочим программам дисциплин (модулей), практик, к изданиям электронных библиотечных систем и электронным образовательным ресурсам, указанным в рабочих программах;</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фиксацию хода образовательного процесса, результатов промежуточной аттестации и результатов освоения программы бакалавриата;</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формирование электронного портфолио обучающегося, в том числе сохранение работ обучающегося, рецензий и оценок на эти работы со стороны любых участников образовательного процесса;</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взаимодействие между участниками образовательного процесса, в том числе синхронное и (или) асинхронное взаимодействия посредством сети "Интернет".</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&lt;1&gt;.</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&lt;1&gt; Федеральный </w:t>
      </w:r>
      <w:hyperlink r:id="rId10" w:history="1">
        <w:r>
          <w:rPr>
            <w:rFonts w:ascii="Arial" w:hAnsi="Arial" w:cs="Arial"/>
            <w:color w:val="0000FF"/>
            <w:sz w:val="20"/>
            <w:szCs w:val="20"/>
          </w:rPr>
          <w:t>закон</w:t>
        </w:r>
      </w:hyperlink>
      <w:r>
        <w:rPr>
          <w:rFonts w:ascii="Arial" w:hAnsi="Arial" w:cs="Arial"/>
          <w:sz w:val="20"/>
          <w:szCs w:val="20"/>
        </w:rP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N 48, ст. 6645; 2015, N 1, ст. 84; N 27, ст. 3979; N 29, ст. 4389, ст. 4390; 2016, N 28, ст. 4558), Федеральный </w:t>
      </w:r>
      <w:hyperlink r:id="rId11" w:history="1">
        <w:r>
          <w:rPr>
            <w:rFonts w:ascii="Arial" w:hAnsi="Arial" w:cs="Arial"/>
            <w:color w:val="0000FF"/>
            <w:sz w:val="20"/>
            <w:szCs w:val="20"/>
          </w:rPr>
          <w:t>закон</w:t>
        </w:r>
      </w:hyperlink>
      <w:r>
        <w:rPr>
          <w:rFonts w:ascii="Arial" w:hAnsi="Arial" w:cs="Arial"/>
          <w:sz w:val="20"/>
          <w:szCs w:val="20"/>
        </w:rPr>
        <w:t xml:space="preserve"> от 27 июля 2006 г. N </w:t>
      </w:r>
      <w:r>
        <w:rPr>
          <w:rFonts w:ascii="Arial" w:hAnsi="Arial" w:cs="Arial"/>
          <w:sz w:val="20"/>
          <w:szCs w:val="20"/>
        </w:rPr>
        <w:lastRenderedPageBreak/>
        <w:t>152-ФЗ "О персональных данных" (Собрание законодательства Российской Федерации, 2006, N 31, ст. 3451; 2009, N 48, ст. 5716; N 52, ст. 6439; 2010, N 27, ст. 3407; N 31, ст. 4173, ст. 4196; N 49, ст. 6409; 2011, N 23, ст. 3263; N 31, ст. 4701; 2013, N 14, ст. 1651; N 30, ст. 4038; N 51, ст. 6683; 2014, N 23, ст. 2927; N 30, ст. 4217, ст. 4243).</w:t>
      </w:r>
    </w:p>
    <w:p w:rsidR="000976B4" w:rsidRDefault="000976B4" w:rsidP="000976B4">
      <w:pPr>
        <w:autoSpaceDE w:val="0"/>
        <w:autoSpaceDN w:val="0"/>
        <w:adjustRightInd w:val="0"/>
        <w:spacing w:after="0" w:line="240" w:lineRule="auto"/>
        <w:jc w:val="both"/>
        <w:rPr>
          <w:rFonts w:ascii="Arial" w:hAnsi="Arial" w:cs="Arial"/>
          <w:sz w:val="20"/>
          <w:szCs w:val="20"/>
        </w:rPr>
      </w:pPr>
    </w:p>
    <w:p w:rsidR="000976B4" w:rsidRDefault="000976B4" w:rsidP="000976B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7.1.3.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бакалавриата в сетевой форме.</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7.1.4. В случае реализации программы бакалавриата на созданных в установленном порядке в иных организациях кафедрах и (или)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7.1.5. Квалификация руководящих и научно-педагогических работников организации должна соответствовать квалификационным характеристикам, установленным в Едином квалификационном </w:t>
      </w:r>
      <w:hyperlink r:id="rId12" w:history="1">
        <w:r>
          <w:rPr>
            <w:rFonts w:ascii="Arial" w:hAnsi="Arial" w:cs="Arial"/>
            <w:color w:val="0000FF"/>
            <w:sz w:val="20"/>
            <w:szCs w:val="20"/>
          </w:rPr>
          <w:t>справочнике</w:t>
        </w:r>
      </w:hyperlink>
      <w:r>
        <w:rPr>
          <w:rFonts w:ascii="Arial" w:hAnsi="Arial" w:cs="Arial"/>
          <w:sz w:val="20"/>
          <w:szCs w:val="20"/>
        </w:rPr>
        <w:t xml:space="preserve"> должностей руководителей, специалистов и служащих, разделе "Квалификационные характеристики должностей руководителей и специалистов высшего профессионального и дополнительного профессионального образования", утвержденном приказом Министерства здравоохранения и социального развития Российской Федерации от 11 января 2011 г. N 1н (зарегистрирован Министерством юстиции Российской Федерации 23 марта 2011 г., регистрационный N 20237), и профессиональным стандартам (при наличии).</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7.1.6. Доля штатных научно-педагогических работников (в приведенных к целочисленным значениям ставок) должна составлять не менее 50 процентов от общего количества научно-педагогических работников организации.</w:t>
      </w:r>
    </w:p>
    <w:p w:rsidR="000976B4" w:rsidRDefault="000976B4" w:rsidP="000976B4">
      <w:pPr>
        <w:autoSpaceDE w:val="0"/>
        <w:autoSpaceDN w:val="0"/>
        <w:adjustRightInd w:val="0"/>
        <w:spacing w:after="0" w:line="240" w:lineRule="auto"/>
        <w:jc w:val="both"/>
        <w:rPr>
          <w:rFonts w:ascii="Arial" w:hAnsi="Arial" w:cs="Arial"/>
          <w:sz w:val="20"/>
          <w:szCs w:val="20"/>
        </w:rPr>
      </w:pPr>
    </w:p>
    <w:p w:rsidR="000976B4" w:rsidRDefault="000976B4" w:rsidP="000976B4">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7.2. Требования к кадровым условиям реализации программы бакалавриата.</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7.2.1. Реализация программы бакалавриата обеспечивается руководящими и научно-педагогическими работниками организации, а также лицами, привлекаемыми к реализации программы бакалавриата на условиях гражданско-правового договора.</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7.2.2. Доля научно-педагогических работников (в приведенных к целочисленным значениям ставок), имеющих образование, соответствующее профилю преподаваемой дисциплины (модуля), в общем числе научно-педагогических работников, реализующих программу бакалавриата, должна составлять не менее 70 процентов.</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7.2.3. Доля научно-педагогических работников (в приведенных к целочисленным значениям ставок), имеющих ученую степень (в том числе ученую степень, присвоенную за рубежом и признаваемую в Российской Федерации) и (или) ученое звание (в том числе ученое звание, полученное за рубежом и признаваемое в Российской Федерации), в общем числе научно-педагогических работников, реализующих программу бакалавриата, должна быть не менее 50 процентов.</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7.2.4. Доля работников (в приведенных к целочисленным значениям ставок) из числа руководителей и работников организаций, деятельность которых связана с направленностью (профилем) реализуемой программы бакалавриата (имеющих стаж работы в данной профессиональной области не менее 3 лет) в общем числе работников, реализующих программу бакалавриата, должна быть не менее 10 процентов.</w:t>
      </w:r>
    </w:p>
    <w:p w:rsidR="000976B4" w:rsidRDefault="000976B4" w:rsidP="000976B4">
      <w:pPr>
        <w:autoSpaceDE w:val="0"/>
        <w:autoSpaceDN w:val="0"/>
        <w:adjustRightInd w:val="0"/>
        <w:spacing w:after="0" w:line="240" w:lineRule="auto"/>
        <w:jc w:val="both"/>
        <w:rPr>
          <w:rFonts w:ascii="Arial" w:hAnsi="Arial" w:cs="Arial"/>
          <w:sz w:val="20"/>
          <w:szCs w:val="20"/>
        </w:rPr>
      </w:pPr>
    </w:p>
    <w:p w:rsidR="000976B4" w:rsidRDefault="000976B4" w:rsidP="000976B4">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7.3. Требования к материально-техническому и учебно-методическому обеспечению программы бакалавриата.</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7.3.1. Специальные помещения должны представлять собой учебные аудитории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учебного оборудования. Специальные помещения должны быть укомплектованы специализированной мебелью и техническими средствами обучения, служащими для представления учебной информации большой аудитории.</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Для проведения занятий лекционного типа предлагаются наборы демонстрационного оборудования и учебно-наглядных пособий, обеспечивающие тематические иллюстрации, соответствующие примерным программам дисциплин (модулей), рабочим учебным программам дисциплин (модулей).</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Перечень материально-технического обеспечения, необходимого для реализации программы бакалавриата, включает в себя лаборатории, оснащенные лабораторным оборудованием, в зависимости от степени сложности. Конкретные требования к материально-техническому и учебно-методическому обеспечению определяются в примерных основных образовательных программах.</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применения электронного обучения,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осваивать умения и навыки, предусмотренные профессиональной деятельностью.</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неиспользования в организации электронно-библиотечной системы (электронной библиотеки) библиотечный фонд должен быть укомплектован печатными изданиями из расчета не менее 50 экземпляров каждого из изданий основной литературы, перечисленной в рабочих программах дисциплин (модулей), практик и не менее 25 экземпляров дополнительной литературы на 100 обучающихся.</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7.3.2. Организация должна быть обеспечена необходимым комплектом лицензионного программного обеспечения (состав определяется в рабочих программах дисциплин (модулей) и подлежит ежегодному обновлению).</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7.3.3. Электронно-библиотечные системы (электронная библиотека) и электронная информационно-образовательная среда должны обеспечивать одновременный доступ не менее 25 процентов обучающихся по программе бакалавриата.</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7.3.4.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ежегодному обновлению.</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7.3.5. 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rsidR="000976B4" w:rsidRDefault="000976B4" w:rsidP="000976B4">
      <w:pPr>
        <w:autoSpaceDE w:val="0"/>
        <w:autoSpaceDN w:val="0"/>
        <w:adjustRightInd w:val="0"/>
        <w:spacing w:after="0" w:line="240" w:lineRule="auto"/>
        <w:jc w:val="both"/>
        <w:rPr>
          <w:rFonts w:ascii="Arial" w:hAnsi="Arial" w:cs="Arial"/>
          <w:sz w:val="20"/>
          <w:szCs w:val="20"/>
        </w:rPr>
      </w:pPr>
    </w:p>
    <w:p w:rsidR="000976B4" w:rsidRDefault="000976B4" w:rsidP="000976B4">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7.4. Требования к финансовым условиям реализации программы бакалавриата.</w:t>
      </w:r>
    </w:p>
    <w:p w:rsidR="000976B4" w:rsidRDefault="000976B4" w:rsidP="000976B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7.4.1. 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 учитывающих специфику образовательных программ в соответствии с </w:t>
      </w:r>
      <w:hyperlink r:id="rId13" w:history="1">
        <w:r>
          <w:rPr>
            <w:rFonts w:ascii="Arial" w:hAnsi="Arial" w:cs="Arial"/>
            <w:color w:val="0000FF"/>
            <w:sz w:val="20"/>
            <w:szCs w:val="20"/>
          </w:rPr>
          <w:t>Методикой</w:t>
        </w:r>
      </w:hyperlink>
      <w:r>
        <w:rPr>
          <w:rFonts w:ascii="Arial" w:hAnsi="Arial" w:cs="Arial"/>
          <w:sz w:val="20"/>
          <w:szCs w:val="20"/>
        </w:rPr>
        <w:t xml:space="preserve"> определения нормативных затрат на оказание государственных услуг по реализации образовательных программ высшего образования по специальностям (направлениям подготовки) и укрупненным группам специальностей (направлений подготовки), утвержденной приказом Министерства образования и науки Российской Федерации от 30 октября 2015 г. N 1272 (зарегистрирован Министерством юстиции Российской Федерации 30 ноября 2015 г., регистрационный N 39898).</w:t>
      </w:r>
    </w:p>
    <w:p w:rsidR="000976B4" w:rsidRDefault="000976B4" w:rsidP="000976B4">
      <w:pPr>
        <w:autoSpaceDE w:val="0"/>
        <w:autoSpaceDN w:val="0"/>
        <w:adjustRightInd w:val="0"/>
        <w:spacing w:after="0" w:line="240" w:lineRule="auto"/>
        <w:jc w:val="both"/>
        <w:rPr>
          <w:rFonts w:ascii="Arial" w:hAnsi="Arial" w:cs="Arial"/>
          <w:sz w:val="20"/>
          <w:szCs w:val="20"/>
        </w:rPr>
      </w:pPr>
    </w:p>
    <w:p w:rsidR="000976B4" w:rsidRDefault="000976B4" w:rsidP="000976B4">
      <w:pPr>
        <w:autoSpaceDE w:val="0"/>
        <w:autoSpaceDN w:val="0"/>
        <w:adjustRightInd w:val="0"/>
        <w:spacing w:after="0" w:line="240" w:lineRule="auto"/>
        <w:jc w:val="both"/>
        <w:rPr>
          <w:rFonts w:ascii="Arial" w:hAnsi="Arial" w:cs="Arial"/>
          <w:sz w:val="20"/>
          <w:szCs w:val="20"/>
        </w:rPr>
      </w:pPr>
    </w:p>
    <w:p w:rsidR="000976B4" w:rsidRDefault="000976B4" w:rsidP="000976B4">
      <w:pPr>
        <w:pBdr>
          <w:top w:val="single" w:sz="6" w:space="0" w:color="auto"/>
        </w:pBdr>
        <w:autoSpaceDE w:val="0"/>
        <w:autoSpaceDN w:val="0"/>
        <w:adjustRightInd w:val="0"/>
        <w:spacing w:before="100" w:after="100" w:line="240" w:lineRule="auto"/>
        <w:jc w:val="both"/>
        <w:rPr>
          <w:rFonts w:ascii="Arial" w:hAnsi="Arial" w:cs="Arial"/>
          <w:sz w:val="2"/>
          <w:szCs w:val="2"/>
        </w:rPr>
      </w:pPr>
    </w:p>
    <w:p w:rsidR="00363C1B" w:rsidRDefault="000976B4">
      <w:bookmarkStart w:id="6" w:name="_GoBack"/>
      <w:bookmarkEnd w:id="6"/>
    </w:p>
    <w:sectPr w:rsidR="00363C1B" w:rsidSect="00643EC0">
      <w:pgSz w:w="11906" w:h="16838"/>
      <w:pgMar w:top="1440" w:right="567" w:bottom="1440"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23E8"/>
    <w:rsid w:val="000976B4"/>
    <w:rsid w:val="000A1D57"/>
    <w:rsid w:val="002F3ACB"/>
    <w:rsid w:val="00E823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0430046A20C96604143898E330325B3BBA9AFC91345BC9D3FC9EC77524EEF316676217D1FE9FCAE7C04B7AC4233E0EF5CC9ABF89A9AE248s3X7H" TargetMode="External"/><Relationship Id="rId13" Type="http://schemas.openxmlformats.org/officeDocument/2006/relationships/hyperlink" Target="consultantplus://offline/ref=B0430046A20C96604143898E330325B3BBA8AFC11340BC9D3FC9EC77524EEF316676217D1FE9FDAA7D04B7AC4233E0EF5CC9ABF89A9AE248s3X7H" TargetMode="External"/><Relationship Id="rId3" Type="http://schemas.openxmlformats.org/officeDocument/2006/relationships/settings" Target="settings.xml"/><Relationship Id="rId7" Type="http://schemas.openxmlformats.org/officeDocument/2006/relationships/hyperlink" Target="consultantplus://offline/ref=B0430046A20C96604143898E330325B3BBA1A0CB1141BC9D3FC9EC77524EEF31747679711EEEE3AA7A11E1FD07s6XEH" TargetMode="External"/><Relationship Id="rId12" Type="http://schemas.openxmlformats.org/officeDocument/2006/relationships/hyperlink" Target="consultantplus://offline/ref=B0430046A20C96604143898E330325B3BBA1A4CC1342BC9D3FC9EC77524EEF316676217D1FE9FDAB7304B7AC4233E0EF5CC9ABF89A9AE248s3X7H"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B0430046A20C96604143898E330325B3B8A8A1CE134CBC9D3FC9EC77524EEF316676217D1FE9FDAF7804B7AC4233E0EF5CC9ABF89A9AE248s3X7H" TargetMode="External"/><Relationship Id="rId11" Type="http://schemas.openxmlformats.org/officeDocument/2006/relationships/hyperlink" Target="consultantplus://offline/ref=B0430046A20C96604143898E330325B3B8A8A0C1174DBC9D3FC9EC77524EEF31747679711EEEE3AA7A11E1FD07s6XEH" TargetMode="External"/><Relationship Id="rId5" Type="http://schemas.openxmlformats.org/officeDocument/2006/relationships/hyperlink" Target="http://www.consultant.ru" TargetMode="External"/><Relationship Id="rId15" Type="http://schemas.openxmlformats.org/officeDocument/2006/relationships/theme" Target="theme/theme1.xml"/><Relationship Id="rId10" Type="http://schemas.openxmlformats.org/officeDocument/2006/relationships/hyperlink" Target="consultantplus://offline/ref=B0430046A20C96604143898E330325B3B9A0A4C11541BC9D3FC9EC77524EEF31747679711EEEE3AA7A11E1FD07s6XEH" TargetMode="External"/><Relationship Id="rId4" Type="http://schemas.openxmlformats.org/officeDocument/2006/relationships/webSettings" Target="webSettings.xml"/><Relationship Id="rId9" Type="http://schemas.openxmlformats.org/officeDocument/2006/relationships/hyperlink" Target="consultantplus://offline/ref=B0430046A20C96604143898E330325B3B8A9A3CF1A44BC9D3FC9EC77524EEF316676217D1FEBFEA27A04B7AC4233E0EF5CC9ABF89A9AE248s3X7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5172</Words>
  <Characters>29482</Characters>
  <Application>Microsoft Office Word</Application>
  <DocSecurity>0</DocSecurity>
  <Lines>245</Lines>
  <Paragraphs>69</Paragraphs>
  <ScaleCrop>false</ScaleCrop>
  <Company/>
  <LinksUpToDate>false</LinksUpToDate>
  <CharactersWithSpaces>34585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Леонидовна Рохлова</dc:creator>
  <cp:keywords/>
  <dc:description/>
  <cp:lastModifiedBy>Елена Леонидовна Рохлова</cp:lastModifiedBy>
  <cp:revision>2</cp:revision>
  <dcterms:created xsi:type="dcterms:W3CDTF">2018-10-17T07:24:00Z</dcterms:created>
  <dcterms:modified xsi:type="dcterms:W3CDTF">2018-10-17T07:24:00Z</dcterms:modified>
</cp:coreProperties>
</file>